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1B" w:rsidRDefault="00F12F1B" w:rsidP="00C17488">
      <w:pPr>
        <w:spacing w:after="0"/>
        <w:jc w:val="both"/>
        <w:rPr>
          <w:rFonts w:eastAsiaTheme="minorEastAsia"/>
          <w:bCs/>
          <w:color w:val="2F5496" w:themeColor="accent5" w:themeShade="BF"/>
          <w:kern w:val="24"/>
        </w:rPr>
      </w:pPr>
    </w:p>
    <w:p w:rsidR="00E05E81" w:rsidRDefault="00E05E81" w:rsidP="00C17488">
      <w:pPr>
        <w:spacing w:after="0"/>
        <w:jc w:val="both"/>
        <w:rPr>
          <w:rFonts w:eastAsiaTheme="minorEastAsia"/>
          <w:bCs/>
          <w:color w:val="2F5496" w:themeColor="accent5" w:themeShade="BF"/>
          <w:kern w:val="24"/>
        </w:rPr>
      </w:pPr>
    </w:p>
    <w:p w:rsidR="00A6536F" w:rsidRPr="007769D2" w:rsidRDefault="0054329B" w:rsidP="00C17488">
      <w:pPr>
        <w:spacing w:after="0"/>
        <w:jc w:val="both"/>
        <w:rPr>
          <w:b/>
          <w:color w:val="2F5496" w:themeColor="accent5" w:themeShade="BF"/>
        </w:rPr>
      </w:pPr>
      <w:r>
        <w:rPr>
          <w:rFonts w:eastAsiaTheme="minorEastAsia"/>
          <w:b/>
          <w:bCs/>
          <w:color w:val="2F5496" w:themeColor="accent5" w:themeShade="BF"/>
          <w:kern w:val="24"/>
        </w:rPr>
        <w:t xml:space="preserve">Instrucciones de la Dirección General de Programas, Atención a la Diversidad y Formación Profesional </w:t>
      </w:r>
      <w:r w:rsidR="00A6536F" w:rsidRPr="007769D2">
        <w:rPr>
          <w:rFonts w:eastAsiaTheme="minorEastAsia"/>
          <w:b/>
          <w:bCs/>
          <w:color w:val="2F5496" w:themeColor="accent5" w:themeShade="BF"/>
          <w:kern w:val="24"/>
        </w:rPr>
        <w:t xml:space="preserve">de la Consejería de Educación, Cultura y Deportes de Castilla-La Mancha por la que se </w:t>
      </w:r>
      <w:r>
        <w:rPr>
          <w:rFonts w:eastAsiaTheme="minorEastAsia"/>
          <w:b/>
          <w:bCs/>
          <w:color w:val="2F5496" w:themeColor="accent5" w:themeShade="BF"/>
          <w:kern w:val="24"/>
        </w:rPr>
        <w:t>regula el procedimiento de selección de participantes</w:t>
      </w:r>
      <w:r w:rsidR="00A6536F" w:rsidRPr="007769D2">
        <w:rPr>
          <w:rFonts w:eastAsiaTheme="minorEastAsia"/>
          <w:b/>
          <w:bCs/>
          <w:color w:val="2F5496" w:themeColor="accent5" w:themeShade="BF"/>
          <w:kern w:val="24"/>
        </w:rPr>
        <w:t xml:space="preserve"> </w:t>
      </w:r>
      <w:r>
        <w:rPr>
          <w:rFonts w:eastAsiaTheme="minorEastAsia"/>
          <w:b/>
          <w:bCs/>
          <w:color w:val="2F5496" w:themeColor="accent5" w:themeShade="BF"/>
          <w:kern w:val="24"/>
        </w:rPr>
        <w:t>en</w:t>
      </w:r>
      <w:r w:rsidR="00A6536F" w:rsidRPr="007769D2">
        <w:rPr>
          <w:rFonts w:eastAsiaTheme="minorEastAsia"/>
          <w:b/>
          <w:bCs/>
          <w:color w:val="2F5496" w:themeColor="accent5" w:themeShade="BF"/>
          <w:kern w:val="24"/>
        </w:rPr>
        <w:t xml:space="preserve"> actividades de movilidad para llevar a cabo periodos de observación y cursos de formación estructurados en el marco del proyecto Erasmus+  nº </w:t>
      </w:r>
      <w:r w:rsidR="00A6536F" w:rsidRPr="007769D2">
        <w:rPr>
          <w:rFonts w:eastAsia="+mn-ea" w:cs="+mn-cs"/>
          <w:b/>
          <w:color w:val="2F5496" w:themeColor="accent5" w:themeShade="BF"/>
        </w:rPr>
        <w:t>2017-1-ES01-KA101-037720, “</w:t>
      </w:r>
      <w:proofErr w:type="spellStart"/>
      <w:r w:rsidR="00A6536F" w:rsidRPr="007769D2">
        <w:rPr>
          <w:rFonts w:eastAsiaTheme="minorEastAsia"/>
          <w:b/>
          <w:bCs/>
          <w:color w:val="2F5496" w:themeColor="accent5" w:themeShade="BF"/>
          <w:kern w:val="24"/>
        </w:rPr>
        <w:t>e+Lazos</w:t>
      </w:r>
      <w:proofErr w:type="spellEnd"/>
      <w:r w:rsidR="00A6536F" w:rsidRPr="007769D2">
        <w:rPr>
          <w:rFonts w:eastAsiaTheme="minorEastAsia"/>
          <w:b/>
          <w:bCs/>
          <w:color w:val="2F5496" w:themeColor="accent5" w:themeShade="BF"/>
          <w:kern w:val="24"/>
        </w:rPr>
        <w:t xml:space="preserve">: otra mirada a la enseñanza bilingüe”. </w:t>
      </w:r>
    </w:p>
    <w:p w:rsidR="00A6536F" w:rsidRPr="006E110D" w:rsidRDefault="00A6536F" w:rsidP="00C17488">
      <w:pPr>
        <w:pStyle w:val="NormalWeb"/>
        <w:spacing w:before="200" w:beforeAutospacing="0" w:after="0" w:afterAutospacing="0" w:line="216" w:lineRule="auto"/>
        <w:jc w:val="both"/>
        <w:rPr>
          <w:rFonts w:asciiTheme="minorHAnsi" w:hAnsiTheme="minorHAnsi"/>
          <w:sz w:val="22"/>
          <w:szCs w:val="22"/>
        </w:rPr>
      </w:pPr>
    </w:p>
    <w:p w:rsidR="00853C85" w:rsidRPr="006E110D" w:rsidRDefault="00853C85" w:rsidP="00C17488">
      <w:pPr>
        <w:pStyle w:val="Prrafodelista"/>
        <w:numPr>
          <w:ilvl w:val="0"/>
          <w:numId w:val="7"/>
        </w:numPr>
        <w:ind w:left="284" w:hanging="284"/>
        <w:jc w:val="both"/>
        <w:rPr>
          <w:rFonts w:asciiTheme="minorHAnsi" w:eastAsiaTheme="minorHAnsi" w:hAnsiTheme="minorHAnsi" w:cstheme="minorBidi"/>
          <w:color w:val="2F5496" w:themeColor="accent5" w:themeShade="BF"/>
          <w:sz w:val="22"/>
          <w:szCs w:val="22"/>
          <w:lang w:eastAsia="en-US"/>
        </w:rPr>
      </w:pPr>
      <w:r w:rsidRPr="006E110D">
        <w:rPr>
          <w:rFonts w:asciiTheme="minorHAnsi" w:eastAsiaTheme="minorHAnsi" w:hAnsiTheme="minorHAnsi" w:cstheme="minorBidi"/>
          <w:color w:val="2F5496" w:themeColor="accent5" w:themeShade="BF"/>
          <w:sz w:val="22"/>
          <w:szCs w:val="22"/>
          <w:lang w:eastAsia="en-US"/>
        </w:rPr>
        <w:t xml:space="preserve">Objeto y finalidad de la convocatoria. </w:t>
      </w:r>
    </w:p>
    <w:p w:rsidR="00BA4788" w:rsidRPr="006E110D" w:rsidRDefault="00BA4788" w:rsidP="00C17488">
      <w:pPr>
        <w:pStyle w:val="Prrafodelista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6E11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1.1. Objeto. </w:t>
      </w:r>
      <w:r w:rsidR="005432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 objeto de estas instrucciones es regular el procedimiento de </w:t>
      </w:r>
      <w:r w:rsidRPr="006E11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convocatoria para la </w:t>
      </w:r>
      <w:bookmarkStart w:id="0" w:name="_GoBack"/>
      <w:bookmarkEnd w:id="0"/>
      <w:r w:rsidRPr="006E11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adjudicación, en régimen de concurrencia competitiva, de un máximo de 70 movilidades para la asistencia a cursos de formación en Reino Unido, Irlanda y Bélgica y para realizar periodos de observación en centros educativos de Finlandia, Francia, Reino Unido, Bélgica, Italia, Grecia, Eslovenia, Polonia y Chipre, dentro del marco del proyecto </w:t>
      </w:r>
      <w:r w:rsidR="009479A0" w:rsidRPr="006E110D">
        <w:rPr>
          <w:rFonts w:asciiTheme="minorHAnsi" w:eastAsiaTheme="minorEastAsia" w:hAnsiTheme="minorHAnsi" w:cstheme="minorBidi"/>
          <w:bCs/>
          <w:color w:val="000000" w:themeColor="text1"/>
          <w:kern w:val="24"/>
          <w:sz w:val="22"/>
          <w:szCs w:val="22"/>
        </w:rPr>
        <w:t xml:space="preserve">nº </w:t>
      </w:r>
      <w:r w:rsidR="009479A0" w:rsidRPr="006E110D">
        <w:rPr>
          <w:rFonts w:asciiTheme="minorHAnsi" w:eastAsia="+mn-ea" w:hAnsiTheme="minorHAnsi" w:cs="+mn-cs"/>
          <w:color w:val="000000" w:themeColor="text1"/>
          <w:sz w:val="22"/>
          <w:szCs w:val="22"/>
        </w:rPr>
        <w:t>2017-1-ES01-KA101-037720, “</w:t>
      </w:r>
      <w:proofErr w:type="spellStart"/>
      <w:r w:rsidR="009479A0" w:rsidRPr="006E110D">
        <w:rPr>
          <w:rFonts w:asciiTheme="minorHAnsi" w:eastAsiaTheme="minorEastAsia" w:hAnsiTheme="minorHAnsi" w:cstheme="minorBidi"/>
          <w:bCs/>
          <w:color w:val="000000" w:themeColor="text1"/>
          <w:kern w:val="24"/>
          <w:sz w:val="22"/>
          <w:szCs w:val="22"/>
        </w:rPr>
        <w:t>e+Lazos</w:t>
      </w:r>
      <w:proofErr w:type="spellEnd"/>
      <w:r w:rsidR="009479A0" w:rsidRPr="006E110D">
        <w:rPr>
          <w:rFonts w:asciiTheme="minorHAnsi" w:eastAsiaTheme="minorEastAsia" w:hAnsiTheme="minorHAnsi" w:cstheme="minorBidi"/>
          <w:bCs/>
          <w:color w:val="000000" w:themeColor="text1"/>
          <w:kern w:val="24"/>
          <w:sz w:val="22"/>
          <w:szCs w:val="22"/>
        </w:rPr>
        <w:t>: otra mirada a la enseñanza bilingüe</w:t>
      </w:r>
      <w:r w:rsidR="009479A0" w:rsidRPr="006E110D">
        <w:rPr>
          <w:rFonts w:asciiTheme="minorHAnsi" w:eastAsiaTheme="minorEastAsia" w:hAnsiTheme="minorHAnsi"/>
          <w:bCs/>
          <w:color w:val="000000" w:themeColor="text1"/>
          <w:kern w:val="24"/>
          <w:sz w:val="22"/>
          <w:szCs w:val="22"/>
        </w:rPr>
        <w:t xml:space="preserve">” </w:t>
      </w:r>
      <w:r w:rsidRPr="006E11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financiado por </w:t>
      </w:r>
      <w:r w:rsidR="009479A0" w:rsidRPr="006E11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 programa Erasmus+ de </w:t>
      </w:r>
      <w:r w:rsidRPr="006E110D">
        <w:rPr>
          <w:rFonts w:asciiTheme="minorHAnsi" w:eastAsiaTheme="minorHAnsi" w:hAnsiTheme="minorHAnsi" w:cstheme="minorBidi"/>
          <w:sz w:val="22"/>
          <w:szCs w:val="22"/>
          <w:lang w:eastAsia="en-US"/>
        </w:rPr>
        <w:t>la Unión Europea</w:t>
      </w:r>
      <w:r w:rsidR="009479A0" w:rsidRPr="006E110D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6E11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E110D">
        <w:rPr>
          <w:rFonts w:asciiTheme="minorHAnsi" w:eastAsiaTheme="minorEastAsia" w:hAnsiTheme="minorHAnsi"/>
          <w:bCs/>
          <w:color w:val="000000" w:themeColor="text1"/>
          <w:kern w:val="24"/>
          <w:sz w:val="22"/>
          <w:szCs w:val="22"/>
        </w:rPr>
        <w:t xml:space="preserve">para profesorado de los centros educativos que forman parte de consorcio,  </w:t>
      </w:r>
      <w:r w:rsidRPr="006E110D">
        <w:rPr>
          <w:rFonts w:asciiTheme="minorHAnsi" w:hAnsiTheme="minorHAnsi" w:cs="Arial"/>
          <w:sz w:val="22"/>
          <w:szCs w:val="22"/>
        </w:rPr>
        <w:t xml:space="preserve">CEIP San Julián (Cuenca), IES Peñalba (Moral de Calatrava, Ciudad Real), IES Alonso de Orozco (Oropesa, Toledo) , CEIP Nuestra Señora de la Piedad (Santa Olalla, Toledo), CRA Los Almendros (Carcelén, Albacete) , IES Don Juan Manuel (Cifuentes, Guadalajara), IES Juan del Castillo (Belmonte, Cuenca), CEIP Virgen de la Paz (Campo de </w:t>
      </w:r>
      <w:proofErr w:type="spellStart"/>
      <w:r w:rsidRPr="006E110D">
        <w:rPr>
          <w:rFonts w:asciiTheme="minorHAnsi" w:hAnsiTheme="minorHAnsi" w:cs="Arial"/>
          <w:sz w:val="22"/>
          <w:szCs w:val="22"/>
        </w:rPr>
        <w:t>Criptana</w:t>
      </w:r>
      <w:proofErr w:type="spellEnd"/>
      <w:r w:rsidRPr="006E110D">
        <w:rPr>
          <w:rFonts w:asciiTheme="minorHAnsi" w:hAnsiTheme="minorHAnsi" w:cs="Arial"/>
          <w:sz w:val="22"/>
          <w:szCs w:val="22"/>
        </w:rPr>
        <w:t xml:space="preserve">, Ciudad Real), CRA </w:t>
      </w:r>
      <w:proofErr w:type="spellStart"/>
      <w:r w:rsidRPr="006E110D">
        <w:rPr>
          <w:rFonts w:asciiTheme="minorHAnsi" w:hAnsiTheme="minorHAnsi" w:cs="Arial"/>
          <w:sz w:val="22"/>
          <w:szCs w:val="22"/>
        </w:rPr>
        <w:t>Segóbriga</w:t>
      </w:r>
      <w:proofErr w:type="spellEnd"/>
      <w:r w:rsidRPr="006E110D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Pr="006E110D">
        <w:rPr>
          <w:rFonts w:asciiTheme="minorHAnsi" w:hAnsiTheme="minorHAnsi" w:cs="Arial"/>
          <w:sz w:val="22"/>
          <w:szCs w:val="22"/>
        </w:rPr>
        <w:t>Saelices</w:t>
      </w:r>
      <w:proofErr w:type="spellEnd"/>
      <w:r w:rsidRPr="006E110D">
        <w:rPr>
          <w:rFonts w:asciiTheme="minorHAnsi" w:hAnsiTheme="minorHAnsi" w:cs="Arial"/>
          <w:sz w:val="22"/>
          <w:szCs w:val="22"/>
        </w:rPr>
        <w:t>, Cuenca) y CEIP San Fulgencio (Albacete).</w:t>
      </w:r>
    </w:p>
    <w:p w:rsidR="00BA4788" w:rsidRPr="006E110D" w:rsidRDefault="00BA4788" w:rsidP="00C17488">
      <w:pPr>
        <w:pStyle w:val="Prrafodelista"/>
        <w:ind w:left="0"/>
        <w:jc w:val="both"/>
        <w:rPr>
          <w:rFonts w:asciiTheme="minorHAnsi" w:eastAsiaTheme="minorEastAsia" w:hAnsiTheme="minorHAnsi"/>
          <w:bCs/>
          <w:color w:val="000000" w:themeColor="text1"/>
          <w:kern w:val="24"/>
          <w:sz w:val="22"/>
          <w:szCs w:val="22"/>
        </w:rPr>
      </w:pPr>
    </w:p>
    <w:p w:rsidR="008E53E3" w:rsidRPr="006E110D" w:rsidRDefault="00BA4788" w:rsidP="00C17488">
      <w:pPr>
        <w:spacing w:after="0"/>
        <w:jc w:val="both"/>
        <w:rPr>
          <w:rFonts w:eastAsia="Times New Roman" w:cs="Arial"/>
          <w:lang w:eastAsia="es-ES"/>
        </w:rPr>
      </w:pPr>
      <w:r w:rsidRPr="006E110D">
        <w:rPr>
          <w:rFonts w:eastAsia="Times New Roman" w:cs="Arial"/>
          <w:lang w:eastAsia="es-ES"/>
        </w:rPr>
        <w:t xml:space="preserve">1.2. Finalidad. </w:t>
      </w:r>
      <w:r w:rsidR="0054329B">
        <w:rPr>
          <w:rFonts w:eastAsia="Times New Roman" w:cs="Arial"/>
          <w:lang w:eastAsia="es-ES"/>
        </w:rPr>
        <w:t>La finalidad de estas instrucciones es f</w:t>
      </w:r>
      <w:r w:rsidR="006E110D">
        <w:rPr>
          <w:rFonts w:eastAsia="Times New Roman" w:cs="Arial"/>
          <w:lang w:eastAsia="es-ES"/>
        </w:rPr>
        <w:t>acilitar</w:t>
      </w:r>
      <w:r w:rsidR="008E53E3" w:rsidRPr="006E110D">
        <w:rPr>
          <w:rFonts w:eastAsia="Times New Roman" w:cs="Arial"/>
          <w:lang w:eastAsia="es-ES"/>
        </w:rPr>
        <w:t xml:space="preserve"> la participación en el Programa Erasmus+, de los centros educativos de titularidad pública q</w:t>
      </w:r>
      <w:r w:rsidR="0054329B">
        <w:rPr>
          <w:rFonts w:eastAsia="Times New Roman" w:cs="Arial"/>
          <w:lang w:eastAsia="es-ES"/>
        </w:rPr>
        <w:t>ue forman parte del consorcio en cuanto a la selección de los participantes.</w:t>
      </w:r>
      <w:r w:rsidR="008E53E3" w:rsidRPr="006E110D">
        <w:rPr>
          <w:rFonts w:eastAsia="Times New Roman" w:cs="Arial"/>
          <w:lang w:eastAsia="es-ES"/>
        </w:rPr>
        <w:t xml:space="preserve"> </w:t>
      </w:r>
    </w:p>
    <w:p w:rsidR="008F13D5" w:rsidRPr="006E110D" w:rsidRDefault="008F13D5" w:rsidP="00C17488">
      <w:pPr>
        <w:spacing w:after="0"/>
        <w:ind w:hanging="142"/>
        <w:jc w:val="both"/>
        <w:rPr>
          <w:rFonts w:eastAsiaTheme="minorEastAsia"/>
          <w:bCs/>
          <w:color w:val="000000" w:themeColor="text1"/>
          <w:kern w:val="24"/>
        </w:rPr>
      </w:pPr>
    </w:p>
    <w:p w:rsidR="002F695E" w:rsidRPr="006E110D" w:rsidRDefault="002F695E" w:rsidP="00C17488">
      <w:pPr>
        <w:pStyle w:val="Prrafodelista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color w:val="2F5496" w:themeColor="accent5" w:themeShade="BF"/>
          <w:sz w:val="22"/>
          <w:szCs w:val="22"/>
        </w:rPr>
      </w:pPr>
      <w:r w:rsidRPr="006E110D">
        <w:rPr>
          <w:rFonts w:asciiTheme="minorHAnsi" w:eastAsiaTheme="minorHAnsi" w:hAnsiTheme="minorHAnsi"/>
          <w:color w:val="2F5496" w:themeColor="accent5" w:themeShade="BF"/>
          <w:sz w:val="22"/>
          <w:szCs w:val="22"/>
        </w:rPr>
        <w:t>Características del proyecto</w:t>
      </w:r>
      <w:r w:rsidR="00EC7EEB">
        <w:rPr>
          <w:rFonts w:asciiTheme="minorHAnsi" w:eastAsiaTheme="minorHAnsi" w:hAnsiTheme="minorHAnsi"/>
          <w:color w:val="2F5496" w:themeColor="accent5" w:themeShade="BF"/>
          <w:sz w:val="22"/>
          <w:szCs w:val="22"/>
        </w:rPr>
        <w:t xml:space="preserve"> y descripción de actividades.</w:t>
      </w:r>
    </w:p>
    <w:p w:rsidR="00BA4788" w:rsidRPr="006E110D" w:rsidRDefault="009479A0" w:rsidP="00C17488">
      <w:pPr>
        <w:spacing w:after="0"/>
        <w:jc w:val="both"/>
        <w:rPr>
          <w:rFonts w:eastAsia="Times New Roman"/>
        </w:rPr>
      </w:pPr>
      <w:r w:rsidRPr="006E110D">
        <w:t>2.1. Objetivos</w:t>
      </w:r>
      <w:r w:rsidR="002F695E" w:rsidRPr="006E110D">
        <w:t xml:space="preserve"> del proyecto.</w:t>
      </w:r>
      <w:r w:rsidRPr="006E110D">
        <w:t xml:space="preserve"> </w:t>
      </w:r>
      <w:r w:rsidR="00BA4788" w:rsidRPr="006E110D">
        <w:rPr>
          <w:rFonts w:eastAsiaTheme="minorEastAsia"/>
          <w:bCs/>
          <w:color w:val="000000" w:themeColor="text1"/>
          <w:kern w:val="24"/>
        </w:rPr>
        <w:t xml:space="preserve">Este proyecto tiene como finalidad </w:t>
      </w:r>
      <w:r w:rsidR="008F13D5" w:rsidRPr="006E110D">
        <w:rPr>
          <w:rFonts w:eastAsiaTheme="minorEastAsia"/>
          <w:bCs/>
          <w:color w:val="000000" w:themeColor="text1"/>
          <w:kern w:val="24"/>
        </w:rPr>
        <w:t xml:space="preserve">reforzar el </w:t>
      </w:r>
      <w:r w:rsidR="00BA4788" w:rsidRPr="006E110D">
        <w:rPr>
          <w:rFonts w:eastAsiaTheme="minorEastAsia"/>
          <w:bCs/>
          <w:color w:val="000000" w:themeColor="text1"/>
          <w:kern w:val="24"/>
        </w:rPr>
        <w:t>Área de organización y gestión de centros</w:t>
      </w:r>
      <w:r w:rsidR="008F13D5" w:rsidRPr="006E110D">
        <w:rPr>
          <w:rFonts w:eastAsiaTheme="minorEastAsia"/>
          <w:bCs/>
          <w:color w:val="000000" w:themeColor="text1"/>
          <w:kern w:val="24"/>
        </w:rPr>
        <w:t xml:space="preserve"> educativos a partir del conocimiento de </w:t>
      </w:r>
      <w:r w:rsidR="00BA4788" w:rsidRPr="006E110D">
        <w:rPr>
          <w:rFonts w:eastAsiaTheme="minorEastAsia"/>
          <w:bCs/>
          <w:color w:val="000000" w:themeColor="text1"/>
          <w:kern w:val="24"/>
        </w:rPr>
        <w:t>otros sistemas de organización de centros que faciliten la incorporación de programas bilingü</w:t>
      </w:r>
      <w:r w:rsidR="008F13D5" w:rsidRPr="006E110D">
        <w:rPr>
          <w:rFonts w:eastAsiaTheme="minorEastAsia"/>
          <w:bCs/>
          <w:color w:val="000000" w:themeColor="text1"/>
          <w:kern w:val="24"/>
        </w:rPr>
        <w:t>es; promover la</w:t>
      </w:r>
      <w:r w:rsidR="00E05E81">
        <w:rPr>
          <w:rFonts w:eastAsiaTheme="minorEastAsia"/>
          <w:bCs/>
          <w:color w:val="000000" w:themeColor="text1"/>
          <w:kern w:val="24"/>
        </w:rPr>
        <w:t xml:space="preserve"> i</w:t>
      </w:r>
      <w:r w:rsidR="00BA4788" w:rsidRPr="006E110D">
        <w:rPr>
          <w:rFonts w:eastAsiaTheme="minorEastAsia"/>
          <w:bCs/>
          <w:color w:val="000000" w:themeColor="text1"/>
          <w:kern w:val="24"/>
        </w:rPr>
        <w:t>nternacionalizació</w:t>
      </w:r>
      <w:r w:rsidR="008F13D5" w:rsidRPr="006E110D">
        <w:rPr>
          <w:rFonts w:eastAsiaTheme="minorEastAsia"/>
          <w:bCs/>
          <w:color w:val="000000" w:themeColor="text1"/>
          <w:kern w:val="24"/>
        </w:rPr>
        <w:t xml:space="preserve">n de los centros educativos </w:t>
      </w:r>
      <w:r w:rsidR="00BA4788" w:rsidRPr="006E110D">
        <w:rPr>
          <w:rFonts w:eastAsiaTheme="minorEastAsia"/>
          <w:bCs/>
          <w:color w:val="000000" w:themeColor="text1"/>
          <w:kern w:val="24"/>
        </w:rPr>
        <w:t xml:space="preserve"> a través de la participación y la colaboració</w:t>
      </w:r>
      <w:r w:rsidR="00E05E81">
        <w:rPr>
          <w:rFonts w:eastAsiaTheme="minorEastAsia"/>
          <w:bCs/>
          <w:color w:val="000000" w:themeColor="text1"/>
          <w:kern w:val="24"/>
        </w:rPr>
        <w:t>n en programas e</w:t>
      </w:r>
      <w:r w:rsidR="008F13D5" w:rsidRPr="006E110D">
        <w:rPr>
          <w:rFonts w:eastAsiaTheme="minorEastAsia"/>
          <w:bCs/>
          <w:color w:val="000000" w:themeColor="text1"/>
          <w:kern w:val="24"/>
        </w:rPr>
        <w:t xml:space="preserve">uropeos, reforzar el </w:t>
      </w:r>
      <w:r w:rsidR="00E05E81">
        <w:rPr>
          <w:rFonts w:eastAsiaTheme="minorEastAsia"/>
          <w:bCs/>
          <w:color w:val="000000" w:themeColor="text1"/>
          <w:kern w:val="24"/>
        </w:rPr>
        <w:t>Á</w:t>
      </w:r>
      <w:r w:rsidR="00BA4788" w:rsidRPr="006E110D">
        <w:rPr>
          <w:rFonts w:eastAsiaTheme="minorEastAsia"/>
          <w:bCs/>
          <w:color w:val="000000" w:themeColor="text1"/>
          <w:kern w:val="24"/>
        </w:rPr>
        <w:t>rea lingüística y metodológica</w:t>
      </w:r>
      <w:r w:rsidR="008F13D5" w:rsidRPr="006E110D">
        <w:rPr>
          <w:rFonts w:eastAsiaTheme="minorEastAsia"/>
          <w:bCs/>
          <w:color w:val="000000" w:themeColor="text1"/>
          <w:kern w:val="24"/>
        </w:rPr>
        <w:t xml:space="preserve"> haciendo</w:t>
      </w:r>
      <w:r w:rsidR="00BA4788" w:rsidRPr="006E110D">
        <w:rPr>
          <w:rFonts w:eastAsiaTheme="minorEastAsia"/>
          <w:bCs/>
          <w:color w:val="000000" w:themeColor="text1"/>
          <w:kern w:val="24"/>
        </w:rPr>
        <w:t xml:space="preserve"> más atractivos los centros educativos mejorando la </w:t>
      </w:r>
      <w:r w:rsidR="008F13D5" w:rsidRPr="006E110D">
        <w:rPr>
          <w:rFonts w:eastAsiaTheme="minorEastAsia"/>
          <w:bCs/>
          <w:color w:val="000000" w:themeColor="text1"/>
          <w:kern w:val="24"/>
        </w:rPr>
        <w:t>calidad de la oferta educativa a través de la participación</w:t>
      </w:r>
      <w:r w:rsidR="00BA4788" w:rsidRPr="006E110D">
        <w:rPr>
          <w:rFonts w:eastAsiaTheme="minorEastAsia"/>
          <w:bCs/>
          <w:color w:val="000000" w:themeColor="text1"/>
          <w:kern w:val="24"/>
        </w:rPr>
        <w:t xml:space="preserve"> en los programas bilingües </w:t>
      </w:r>
      <w:r w:rsidR="008F13D5" w:rsidRPr="006E110D">
        <w:rPr>
          <w:rFonts w:eastAsiaTheme="minorEastAsia"/>
          <w:bCs/>
          <w:color w:val="000000" w:themeColor="text1"/>
          <w:kern w:val="24"/>
        </w:rPr>
        <w:t>ofreciendo una</w:t>
      </w:r>
      <w:r w:rsidR="00BA4788" w:rsidRPr="006E110D">
        <w:rPr>
          <w:rFonts w:eastAsiaTheme="minorEastAsia"/>
          <w:bCs/>
          <w:color w:val="000000" w:themeColor="text1"/>
          <w:kern w:val="24"/>
        </w:rPr>
        <w:t xml:space="preserve"> enseñanza integrada de contenidos en lenguas extranjeras (CLIL) de calidad</w:t>
      </w:r>
      <w:r w:rsidR="008F13D5" w:rsidRPr="006E110D">
        <w:rPr>
          <w:rFonts w:eastAsiaTheme="minorEastAsia"/>
          <w:bCs/>
          <w:color w:val="000000" w:themeColor="text1"/>
          <w:kern w:val="24"/>
        </w:rPr>
        <w:t>, incorporando</w:t>
      </w:r>
      <w:r w:rsidR="00BA4788" w:rsidRPr="006E110D">
        <w:rPr>
          <w:rFonts w:eastAsiaTheme="minorEastAsia"/>
          <w:bCs/>
          <w:color w:val="000000" w:themeColor="text1"/>
          <w:kern w:val="24"/>
        </w:rPr>
        <w:t xml:space="preserve"> metodologías de t</w:t>
      </w:r>
      <w:r w:rsidR="008F13D5" w:rsidRPr="006E110D">
        <w:rPr>
          <w:rFonts w:eastAsiaTheme="minorEastAsia"/>
          <w:bCs/>
          <w:color w:val="000000" w:themeColor="text1"/>
          <w:kern w:val="24"/>
        </w:rPr>
        <w:t xml:space="preserve">rabajo activo en el aula y posibilitando la creación de </w:t>
      </w:r>
      <w:r w:rsidR="00BA4788" w:rsidRPr="006E110D">
        <w:rPr>
          <w:rFonts w:eastAsiaTheme="minorEastAsia"/>
          <w:bCs/>
          <w:color w:val="000000" w:themeColor="text1"/>
          <w:kern w:val="24"/>
        </w:rPr>
        <w:t xml:space="preserve"> n</w:t>
      </w:r>
      <w:r w:rsidR="008F13D5" w:rsidRPr="006E110D">
        <w:rPr>
          <w:rFonts w:eastAsiaTheme="minorEastAsia"/>
          <w:bCs/>
          <w:color w:val="000000" w:themeColor="text1"/>
          <w:kern w:val="24"/>
        </w:rPr>
        <w:t xml:space="preserve">uevos escenarios de aprendizaje; reforzar el </w:t>
      </w:r>
      <w:r w:rsidR="00BA4788" w:rsidRPr="006E110D">
        <w:rPr>
          <w:rFonts w:eastAsiaTheme="minorEastAsia"/>
          <w:bCs/>
          <w:color w:val="000000" w:themeColor="text1"/>
          <w:kern w:val="24"/>
        </w:rPr>
        <w:t>Área de integración y atenció</w:t>
      </w:r>
      <w:r w:rsidR="008F13D5" w:rsidRPr="006E110D">
        <w:rPr>
          <w:rFonts w:eastAsiaTheme="minorEastAsia"/>
          <w:bCs/>
          <w:color w:val="000000" w:themeColor="text1"/>
          <w:kern w:val="24"/>
        </w:rPr>
        <w:t>n a la diversidad a través del desarrollo de</w:t>
      </w:r>
      <w:r w:rsidR="00BA4788" w:rsidRPr="006E110D">
        <w:rPr>
          <w:rFonts w:eastAsiaTheme="minorEastAsia"/>
          <w:bCs/>
          <w:color w:val="000000" w:themeColor="text1"/>
          <w:kern w:val="24"/>
        </w:rPr>
        <w:t xml:space="preserve"> diferentes estrategias para poder atender a la diversidad y favorecer así la integració</w:t>
      </w:r>
      <w:r w:rsidR="00E05E81">
        <w:rPr>
          <w:rFonts w:eastAsiaTheme="minorEastAsia"/>
          <w:bCs/>
          <w:color w:val="000000" w:themeColor="text1"/>
          <w:kern w:val="24"/>
        </w:rPr>
        <w:t>n</w:t>
      </w:r>
      <w:r w:rsidR="008F13D5" w:rsidRPr="006E110D">
        <w:rPr>
          <w:rFonts w:eastAsiaTheme="minorEastAsia"/>
          <w:bCs/>
          <w:color w:val="000000" w:themeColor="text1"/>
          <w:kern w:val="24"/>
        </w:rPr>
        <w:t xml:space="preserve"> y fomentar el </w:t>
      </w:r>
      <w:r w:rsidR="00BA4788" w:rsidRPr="006E110D">
        <w:rPr>
          <w:rFonts w:eastAsiaTheme="minorEastAsia"/>
          <w:bCs/>
          <w:color w:val="000000" w:themeColor="text1"/>
          <w:kern w:val="24"/>
        </w:rPr>
        <w:t>Área de desarrollo de “</w:t>
      </w:r>
      <w:proofErr w:type="spellStart"/>
      <w:r w:rsidR="00BA4788" w:rsidRPr="006E110D">
        <w:rPr>
          <w:rFonts w:eastAsiaTheme="minorEastAsia"/>
          <w:bCs/>
          <w:color w:val="000000" w:themeColor="text1"/>
          <w:kern w:val="24"/>
        </w:rPr>
        <w:t>soft</w:t>
      </w:r>
      <w:proofErr w:type="spellEnd"/>
      <w:r w:rsidR="00BA4788" w:rsidRPr="006E110D">
        <w:rPr>
          <w:rFonts w:eastAsiaTheme="minorEastAsia"/>
          <w:bCs/>
          <w:color w:val="000000" w:themeColor="text1"/>
          <w:kern w:val="24"/>
        </w:rPr>
        <w:t xml:space="preserve"> </w:t>
      </w:r>
      <w:proofErr w:type="spellStart"/>
      <w:r w:rsidR="00BA4788" w:rsidRPr="006E110D">
        <w:rPr>
          <w:rFonts w:eastAsiaTheme="minorEastAsia"/>
          <w:bCs/>
          <w:color w:val="000000" w:themeColor="text1"/>
          <w:kern w:val="24"/>
        </w:rPr>
        <w:t>skills</w:t>
      </w:r>
      <w:proofErr w:type="spellEnd"/>
      <w:r w:rsidR="00BA4788" w:rsidRPr="006E110D">
        <w:rPr>
          <w:rFonts w:eastAsiaTheme="minorEastAsia"/>
          <w:bCs/>
          <w:color w:val="000000" w:themeColor="text1"/>
          <w:kern w:val="24"/>
        </w:rPr>
        <w:t>”</w:t>
      </w:r>
      <w:r w:rsidR="008F13D5" w:rsidRPr="006E110D">
        <w:rPr>
          <w:rFonts w:eastAsiaTheme="minorEastAsia"/>
          <w:bCs/>
          <w:color w:val="000000" w:themeColor="text1"/>
          <w:kern w:val="24"/>
        </w:rPr>
        <w:t xml:space="preserve"> a través del desarrollo de </w:t>
      </w:r>
      <w:r w:rsidR="00BA4788" w:rsidRPr="006E110D">
        <w:rPr>
          <w:rFonts w:eastAsiaTheme="minorEastAsia"/>
          <w:bCs/>
          <w:color w:val="000000" w:themeColor="text1"/>
          <w:kern w:val="24"/>
        </w:rPr>
        <w:t>capacidades en los docentes les permitan relacionarse mejor y desenvolverse a la perfección ante las adversidades del centro y del aula.</w:t>
      </w:r>
    </w:p>
    <w:p w:rsidR="009479A0" w:rsidRPr="006E110D" w:rsidRDefault="009479A0" w:rsidP="00C17488">
      <w:pPr>
        <w:pStyle w:val="Prrafodelista"/>
        <w:ind w:left="284"/>
        <w:jc w:val="both"/>
        <w:rPr>
          <w:rFonts w:asciiTheme="minorHAnsi" w:hAnsiTheme="minorHAnsi"/>
          <w:sz w:val="22"/>
          <w:szCs w:val="22"/>
        </w:rPr>
      </w:pPr>
    </w:p>
    <w:p w:rsidR="002F695E" w:rsidRPr="006E110D" w:rsidRDefault="002F695E" w:rsidP="00C17488">
      <w:pPr>
        <w:spacing w:after="0"/>
        <w:jc w:val="both"/>
        <w:rPr>
          <w:rFonts w:eastAsiaTheme="minorEastAsia"/>
          <w:bCs/>
          <w:color w:val="000000" w:themeColor="text1"/>
          <w:kern w:val="24"/>
        </w:rPr>
      </w:pPr>
      <w:r w:rsidRPr="006E110D">
        <w:rPr>
          <w:rFonts w:eastAsiaTheme="minorEastAsia"/>
          <w:bCs/>
          <w:color w:val="000000" w:themeColor="text1"/>
          <w:kern w:val="24"/>
        </w:rPr>
        <w:t>2.2 Actividades de movilidad para formación.</w:t>
      </w:r>
      <w:r w:rsidR="009479A0" w:rsidRPr="006E110D">
        <w:rPr>
          <w:rFonts w:eastAsiaTheme="minorEastAsia"/>
          <w:bCs/>
          <w:color w:val="000000" w:themeColor="text1"/>
          <w:kern w:val="24"/>
        </w:rPr>
        <w:t xml:space="preserve"> </w:t>
      </w:r>
      <w:r w:rsidRPr="006E110D">
        <w:rPr>
          <w:rFonts w:eastAsiaTheme="minorEastAsia"/>
          <w:bCs/>
          <w:color w:val="000000" w:themeColor="text1"/>
          <w:kern w:val="24"/>
        </w:rPr>
        <w:t xml:space="preserve">Son actividades de movilidad para formación aquellas actividades organizadas en el ámbito del proyecto, desarrolladas en otros países europeos y orientados a alcanzar los objetivos del proyecto descritos en el apartado anterior. </w:t>
      </w:r>
    </w:p>
    <w:p w:rsidR="002F695E" w:rsidRPr="006E110D" w:rsidRDefault="002F695E" w:rsidP="00C17488">
      <w:pPr>
        <w:spacing w:after="0"/>
        <w:jc w:val="both"/>
        <w:rPr>
          <w:rFonts w:eastAsiaTheme="minorEastAsia"/>
          <w:bCs/>
          <w:color w:val="000000" w:themeColor="text1"/>
          <w:kern w:val="24"/>
        </w:rPr>
      </w:pPr>
      <w:r w:rsidRPr="006E110D">
        <w:rPr>
          <w:rFonts w:eastAsiaTheme="minorEastAsia"/>
          <w:bCs/>
          <w:color w:val="000000" w:themeColor="text1"/>
          <w:kern w:val="24"/>
        </w:rPr>
        <w:t xml:space="preserve">Las actividades de movilidad consistirán en cursos de formación estructurados y en periodos de observación en centros educativos de diferentes países europeos. </w:t>
      </w:r>
    </w:p>
    <w:p w:rsidR="002F695E" w:rsidRPr="006E110D" w:rsidRDefault="002F695E" w:rsidP="00C17488">
      <w:pPr>
        <w:spacing w:after="0"/>
        <w:jc w:val="both"/>
        <w:rPr>
          <w:rFonts w:eastAsiaTheme="minorEastAsia"/>
          <w:bCs/>
          <w:color w:val="000000" w:themeColor="text1"/>
          <w:kern w:val="24"/>
        </w:rPr>
      </w:pPr>
      <w:r w:rsidRPr="006E110D">
        <w:rPr>
          <w:rFonts w:eastAsiaTheme="minorEastAsia"/>
          <w:bCs/>
          <w:color w:val="000000" w:themeColor="text1"/>
          <w:kern w:val="24"/>
        </w:rPr>
        <w:lastRenderedPageBreak/>
        <w:t>Cada actividad de movilidad se desarrollará en un país concreto, tiene una temática específica y está dirigida a un perfil docente en particular, que puede tener en cuenta la etapa educativa, la especialidad</w:t>
      </w:r>
      <w:r w:rsidR="00C63ED6" w:rsidRPr="006E110D">
        <w:rPr>
          <w:rFonts w:eastAsiaTheme="minorEastAsia"/>
          <w:bCs/>
          <w:color w:val="000000" w:themeColor="text1"/>
          <w:kern w:val="24"/>
        </w:rPr>
        <w:t xml:space="preserve"> que imparte, entre otras.  </w:t>
      </w:r>
    </w:p>
    <w:p w:rsidR="00C63ED6" w:rsidRPr="006E110D" w:rsidRDefault="00C63ED6" w:rsidP="00C17488">
      <w:pPr>
        <w:spacing w:after="0"/>
        <w:jc w:val="both"/>
        <w:rPr>
          <w:rFonts w:eastAsiaTheme="minorEastAsia"/>
          <w:bCs/>
          <w:color w:val="000000" w:themeColor="text1"/>
          <w:kern w:val="24"/>
        </w:rPr>
      </w:pPr>
      <w:r w:rsidRPr="006E110D">
        <w:rPr>
          <w:rFonts w:eastAsiaTheme="minorEastAsia"/>
          <w:bCs/>
          <w:color w:val="000000" w:themeColor="text1"/>
          <w:kern w:val="24"/>
        </w:rPr>
        <w:t xml:space="preserve">Los docentes seleccionados a través de esta convocatoria asistirán a las actividades de movilidad cuya realización está programada entre el 1 de Julio de 2017 y 31 de mayo de 2019, ambos inclusive, y que aparecen </w:t>
      </w:r>
      <w:r w:rsidR="00197A18" w:rsidRPr="006E110D">
        <w:rPr>
          <w:rFonts w:eastAsiaTheme="minorEastAsia"/>
          <w:bCs/>
          <w:color w:val="000000" w:themeColor="text1"/>
          <w:kern w:val="24"/>
        </w:rPr>
        <w:t xml:space="preserve">detalladas en el Anexo I referido a las características de las actividades de movilidad. </w:t>
      </w:r>
    </w:p>
    <w:p w:rsidR="007769D2" w:rsidRDefault="007769D2" w:rsidP="00C17488">
      <w:pPr>
        <w:spacing w:after="0"/>
        <w:jc w:val="both"/>
        <w:rPr>
          <w:color w:val="2F5496" w:themeColor="accent5" w:themeShade="BF"/>
        </w:rPr>
      </w:pPr>
    </w:p>
    <w:p w:rsidR="009479A0" w:rsidRPr="006E110D" w:rsidRDefault="009479A0" w:rsidP="00C17488">
      <w:pPr>
        <w:spacing w:after="0"/>
        <w:jc w:val="both"/>
        <w:rPr>
          <w:color w:val="2F5496" w:themeColor="accent5" w:themeShade="BF"/>
        </w:rPr>
      </w:pPr>
      <w:r w:rsidRPr="006E110D">
        <w:rPr>
          <w:color w:val="2F5496" w:themeColor="accent5" w:themeShade="BF"/>
        </w:rPr>
        <w:t>3. Distribución</w:t>
      </w:r>
      <w:r w:rsidR="00853C85" w:rsidRPr="006E110D">
        <w:rPr>
          <w:color w:val="2F5496" w:themeColor="accent5" w:themeShade="BF"/>
        </w:rPr>
        <w:t xml:space="preserve"> de plazas, cuantías y condiciones de la subvención.</w:t>
      </w:r>
    </w:p>
    <w:p w:rsidR="00C63ED6" w:rsidRDefault="00C63ED6" w:rsidP="00C17488">
      <w:pPr>
        <w:spacing w:after="0"/>
        <w:jc w:val="both"/>
        <w:rPr>
          <w:rFonts w:cs="Times New Roman"/>
          <w:lang w:eastAsia="es-ES"/>
        </w:rPr>
      </w:pPr>
      <w:r w:rsidRPr="006E110D">
        <w:rPr>
          <w:rFonts w:cs="Times New Roman"/>
          <w:lang w:eastAsia="es-ES"/>
        </w:rPr>
        <w:t xml:space="preserve">3.1. Se convocan 70 plazas de actividades de movilidad para realizar cursos de formación y periodos de observación desde el 1 de julio de 2017 hasta el 31 de mayo de 2019, ambos inclusive. </w:t>
      </w:r>
    </w:p>
    <w:p w:rsidR="00E05E81" w:rsidRPr="006E110D" w:rsidRDefault="00E05E81" w:rsidP="00C17488">
      <w:pPr>
        <w:spacing w:after="0"/>
        <w:jc w:val="both"/>
        <w:rPr>
          <w:rFonts w:cs="Times New Roman"/>
          <w:lang w:eastAsia="es-ES"/>
        </w:rPr>
      </w:pPr>
    </w:p>
    <w:p w:rsidR="00024FB4" w:rsidRPr="006E110D" w:rsidRDefault="00C63ED6" w:rsidP="00C17488">
      <w:pPr>
        <w:spacing w:after="0"/>
        <w:jc w:val="both"/>
        <w:rPr>
          <w:rFonts w:cs="Times New Roman"/>
          <w:lang w:eastAsia="es-ES"/>
        </w:rPr>
      </w:pPr>
      <w:r w:rsidRPr="006E110D">
        <w:rPr>
          <w:rFonts w:cs="Times New Roman"/>
          <w:lang w:eastAsia="es-ES"/>
        </w:rPr>
        <w:t>3.2. Distribución de plazas.</w:t>
      </w:r>
      <w:r w:rsidR="00EC7EEB">
        <w:rPr>
          <w:rFonts w:cs="Times New Roman"/>
          <w:lang w:eastAsia="es-ES"/>
        </w:rPr>
        <w:t xml:space="preserve"> Tras la Primera </w:t>
      </w:r>
      <w:r w:rsidR="00197A18" w:rsidRPr="006E110D">
        <w:rPr>
          <w:rFonts w:cs="Times New Roman"/>
          <w:lang w:eastAsia="es-ES"/>
        </w:rPr>
        <w:t>Reunión General Erasmus+ mantenida el 30 de mayo de 2017 en la que participaron los directores y los coordinadores de los centros educativos que forman parte del consorcio,  l</w:t>
      </w:r>
      <w:r w:rsidRPr="006E110D">
        <w:rPr>
          <w:rFonts w:cs="Times New Roman"/>
          <w:lang w:eastAsia="es-ES"/>
        </w:rPr>
        <w:t>a distribución de plazas</w:t>
      </w:r>
      <w:r w:rsidR="00197A18" w:rsidRPr="006E110D">
        <w:rPr>
          <w:rFonts w:cs="Times New Roman"/>
          <w:lang w:eastAsia="es-ES"/>
        </w:rPr>
        <w:t xml:space="preserve"> </w:t>
      </w:r>
      <w:r w:rsidR="00024FB4" w:rsidRPr="006E110D">
        <w:rPr>
          <w:rFonts w:cs="Times New Roman"/>
          <w:lang w:eastAsia="es-ES"/>
        </w:rPr>
        <w:t>será de 7 movilidades para cada centro educativo, 3 para realizar cursos de formación y 4 para re</w:t>
      </w:r>
      <w:r w:rsidR="00197A18" w:rsidRPr="006E110D">
        <w:rPr>
          <w:rFonts w:cs="Times New Roman"/>
          <w:lang w:eastAsia="es-ES"/>
        </w:rPr>
        <w:t xml:space="preserve">alizar periodos de observación </w:t>
      </w:r>
      <w:r w:rsidR="0065727D" w:rsidRPr="006E110D">
        <w:rPr>
          <w:rFonts w:cs="Times New Roman"/>
          <w:lang w:eastAsia="es-ES"/>
        </w:rPr>
        <w:t>tal y como se especifica en el Anexo I</w:t>
      </w:r>
      <w:r w:rsidR="00197A18" w:rsidRPr="006E110D">
        <w:rPr>
          <w:rFonts w:cs="Times New Roman"/>
          <w:lang w:eastAsia="es-ES"/>
        </w:rPr>
        <w:t xml:space="preserve"> y en función de las necesidades de cada uno de ellos. </w:t>
      </w:r>
    </w:p>
    <w:p w:rsidR="00024FB4" w:rsidRDefault="00024FB4" w:rsidP="00C17488">
      <w:pPr>
        <w:spacing w:after="0"/>
        <w:jc w:val="both"/>
        <w:rPr>
          <w:rFonts w:cs="Times New Roman"/>
          <w:lang w:eastAsia="es-ES"/>
        </w:rPr>
      </w:pPr>
      <w:r w:rsidRPr="006E110D">
        <w:rPr>
          <w:rFonts w:cs="Times New Roman"/>
          <w:lang w:eastAsia="es-ES"/>
        </w:rPr>
        <w:t xml:space="preserve">La temática de cada una de las actividades de formación </w:t>
      </w:r>
      <w:r w:rsidR="00C63ED6" w:rsidRPr="006E110D">
        <w:rPr>
          <w:rFonts w:cs="Times New Roman"/>
          <w:lang w:eastAsia="es-ES"/>
        </w:rPr>
        <w:t xml:space="preserve">vendrá definida </w:t>
      </w:r>
      <w:r w:rsidRPr="006E110D">
        <w:rPr>
          <w:rFonts w:cs="Times New Roman"/>
          <w:lang w:eastAsia="es-ES"/>
        </w:rPr>
        <w:t>de acuerdo a las necesidades  de cada uno de los centros, tal y como se especifica en el proyecto</w:t>
      </w:r>
      <w:r w:rsidR="00D26E4A" w:rsidRPr="006E110D">
        <w:rPr>
          <w:rFonts w:eastAsia="Times New Roman" w:cs="Arial"/>
          <w:lang w:eastAsia="es-ES"/>
        </w:rPr>
        <w:t xml:space="preserve"> número 2017-1-ES01-KA101-037720 “</w:t>
      </w:r>
      <w:proofErr w:type="spellStart"/>
      <w:r w:rsidR="00D26E4A" w:rsidRPr="006E110D">
        <w:rPr>
          <w:rFonts w:eastAsia="Times New Roman" w:cs="Arial"/>
          <w:lang w:eastAsia="es-ES"/>
        </w:rPr>
        <w:t>e+Lazos</w:t>
      </w:r>
      <w:proofErr w:type="spellEnd"/>
      <w:r w:rsidR="00D26E4A" w:rsidRPr="006E110D">
        <w:rPr>
          <w:rFonts w:eastAsia="Times New Roman" w:cs="Arial"/>
          <w:lang w:eastAsia="es-ES"/>
        </w:rPr>
        <w:t>: Otra mirada hacia la enseñanza bilingüe”</w:t>
      </w:r>
      <w:r w:rsidRPr="006E110D">
        <w:rPr>
          <w:rFonts w:cs="Times New Roman"/>
          <w:lang w:eastAsia="es-ES"/>
        </w:rPr>
        <w:t>.</w:t>
      </w:r>
    </w:p>
    <w:p w:rsidR="00E05E81" w:rsidRPr="006E110D" w:rsidRDefault="00E05E81" w:rsidP="00C17488">
      <w:pPr>
        <w:spacing w:after="0"/>
        <w:jc w:val="both"/>
        <w:rPr>
          <w:rFonts w:cs="Times New Roman"/>
          <w:lang w:eastAsia="es-ES"/>
        </w:rPr>
      </w:pPr>
    </w:p>
    <w:p w:rsidR="00024FB4" w:rsidRDefault="00E05E81" w:rsidP="00C17488">
      <w:pPr>
        <w:spacing w:after="0"/>
        <w:jc w:val="both"/>
      </w:pPr>
      <w:r>
        <w:t>3.3. El i</w:t>
      </w:r>
      <w:r w:rsidR="00024FB4" w:rsidRPr="006E110D">
        <w:t>mporte total de cada ayuda vendrá determinado por la duración de la movilidad y el país de destino donde se llevará a cabo la actividad y servirá para sufragar los gastos de viaje, alojamiento, manutención y tasas del curso.</w:t>
      </w:r>
      <w:r w:rsidR="00D26E4A" w:rsidRPr="006E110D">
        <w:t xml:space="preserve"> </w:t>
      </w:r>
      <w:r w:rsidR="005F5BD1" w:rsidRPr="006E110D">
        <w:t xml:space="preserve">(Anexo </w:t>
      </w:r>
      <w:r w:rsidR="00D26E4A" w:rsidRPr="006E110D">
        <w:t>I).</w:t>
      </w:r>
    </w:p>
    <w:p w:rsidR="00E05E81" w:rsidRPr="006E110D" w:rsidRDefault="00E05E81" w:rsidP="00C17488">
      <w:pPr>
        <w:spacing w:after="0"/>
        <w:jc w:val="both"/>
      </w:pPr>
    </w:p>
    <w:p w:rsidR="00D26E4A" w:rsidRDefault="00D26E4A" w:rsidP="00C17488">
      <w:pPr>
        <w:spacing w:after="0"/>
        <w:jc w:val="both"/>
      </w:pPr>
      <w:r w:rsidRPr="00EC7EEB">
        <w:t xml:space="preserve">3.5. La Consejería de Educación, Cultura y Deportes de Castilla-La Mancha transferirá a cada </w:t>
      </w:r>
      <w:r w:rsidR="0065727D" w:rsidRPr="00EC7EEB">
        <w:t>participante</w:t>
      </w:r>
      <w:r w:rsidRPr="00EC7EEB">
        <w:t xml:space="preserve"> el dinero correspondiente </w:t>
      </w:r>
      <w:r w:rsidR="0065727D" w:rsidRPr="00EC7EEB">
        <w:t xml:space="preserve">presupuestado para su movilidad. </w:t>
      </w:r>
    </w:p>
    <w:p w:rsidR="00E05E81" w:rsidRPr="00EC7EEB" w:rsidRDefault="00E05E81" w:rsidP="00C17488">
      <w:pPr>
        <w:spacing w:after="0"/>
        <w:jc w:val="both"/>
      </w:pPr>
    </w:p>
    <w:p w:rsidR="0065727D" w:rsidRDefault="00F94C0E" w:rsidP="00C17488">
      <w:pPr>
        <w:spacing w:after="0"/>
        <w:jc w:val="both"/>
      </w:pPr>
      <w:r w:rsidRPr="00EC7EEB">
        <w:t>3.5. En el caso de</w:t>
      </w:r>
      <w:r w:rsidRPr="006E110D">
        <w:t xml:space="preserve"> actividades de movilidad para realizar cursos de formación</w:t>
      </w:r>
      <w:r w:rsidR="0065727D" w:rsidRPr="006E110D">
        <w:t xml:space="preserve"> en Reino Unido e Irlanda</w:t>
      </w:r>
      <w:r w:rsidRPr="006E110D">
        <w:t>, los candidatos/as seleccionados/as deberán realizar por su cuenta los trámites oportunos para seleccio</w:t>
      </w:r>
      <w:r w:rsidR="0065727D" w:rsidRPr="006E110D">
        <w:t>nar el curso que desean realizar.</w:t>
      </w:r>
    </w:p>
    <w:p w:rsidR="00E05E81" w:rsidRPr="006E110D" w:rsidRDefault="00E05E81" w:rsidP="00C17488">
      <w:pPr>
        <w:spacing w:after="0"/>
        <w:jc w:val="both"/>
      </w:pPr>
    </w:p>
    <w:p w:rsidR="0065727D" w:rsidRPr="006E110D" w:rsidRDefault="0065727D" w:rsidP="00C17488">
      <w:pPr>
        <w:spacing w:after="0"/>
        <w:jc w:val="both"/>
      </w:pPr>
      <w:r w:rsidRPr="006E110D">
        <w:t xml:space="preserve">3.6. En el  caso de actividades de movilidad para realizar cursos de formación en Bélgica, en el marco del Aula del Futuro, la Consejería de Educación, Cultura y Deportes será la encargada de gestionar los cursos con </w:t>
      </w:r>
      <w:proofErr w:type="spellStart"/>
      <w:r w:rsidRPr="006E110D">
        <w:t>European</w:t>
      </w:r>
      <w:proofErr w:type="spellEnd"/>
      <w:r w:rsidRPr="006E110D">
        <w:t xml:space="preserve"> </w:t>
      </w:r>
      <w:proofErr w:type="spellStart"/>
      <w:r w:rsidRPr="006E110D">
        <w:t>Schoolnet</w:t>
      </w:r>
      <w:proofErr w:type="spellEnd"/>
      <w:r w:rsidRPr="006E110D">
        <w:t xml:space="preserve">. </w:t>
      </w:r>
    </w:p>
    <w:p w:rsidR="00EC7EEB" w:rsidRDefault="00F94C0E" w:rsidP="00C17488">
      <w:pPr>
        <w:spacing w:after="0"/>
        <w:jc w:val="both"/>
      </w:pPr>
      <w:r w:rsidRPr="006E110D">
        <w:t>3.6. En el caso de actividades de movilidad para realizar periodos de observación, los candidatos/as seleccionados</w:t>
      </w:r>
      <w:r w:rsidR="009160CE">
        <w:t>/as</w:t>
      </w:r>
      <w:r w:rsidRPr="006E110D">
        <w:t xml:space="preserve"> deberán acordar con el centro de acogida las fechas más idóneas para realizar la visita, </w:t>
      </w:r>
      <w:r w:rsidR="0065727D" w:rsidRPr="006E110D">
        <w:t>que tendrá una duración de una o</w:t>
      </w:r>
      <w:r w:rsidRPr="006E110D">
        <w:t xml:space="preserve"> dos semanas</w:t>
      </w:r>
      <w:r w:rsidR="0065727D" w:rsidRPr="006E110D">
        <w:t xml:space="preserve">. </w:t>
      </w:r>
    </w:p>
    <w:p w:rsidR="00D26E4A" w:rsidRDefault="00D26E4A" w:rsidP="00C17488">
      <w:pPr>
        <w:spacing w:after="0"/>
        <w:jc w:val="both"/>
      </w:pPr>
      <w:r w:rsidRPr="006E110D">
        <w:t xml:space="preserve">Todos </w:t>
      </w:r>
      <w:r w:rsidR="0065727D" w:rsidRPr="006E110D">
        <w:t>los gastos generados en estas actividades</w:t>
      </w:r>
      <w:r w:rsidRPr="006E110D">
        <w:t xml:space="preserve"> serán debidamente justificados de acuerdo con la normativa vigente y con los importes y condiciones establecidas en el proyecto </w:t>
      </w:r>
      <w:r w:rsidRPr="006E110D">
        <w:rPr>
          <w:rFonts w:eastAsia="Times New Roman" w:cs="Arial"/>
          <w:lang w:eastAsia="es-ES"/>
        </w:rPr>
        <w:t>número 2017-1-ES01-KA101-037720 “</w:t>
      </w:r>
      <w:proofErr w:type="spellStart"/>
      <w:r w:rsidRPr="006E110D">
        <w:rPr>
          <w:rFonts w:eastAsia="Times New Roman" w:cs="Arial"/>
          <w:lang w:eastAsia="es-ES"/>
        </w:rPr>
        <w:t>e+Lazos</w:t>
      </w:r>
      <w:proofErr w:type="spellEnd"/>
      <w:r w:rsidRPr="006E110D">
        <w:rPr>
          <w:rFonts w:eastAsia="Times New Roman" w:cs="Arial"/>
          <w:lang w:eastAsia="es-ES"/>
        </w:rPr>
        <w:t xml:space="preserve">: Otra mirada hacia la enseñanza bilingüe” y </w:t>
      </w:r>
      <w:r w:rsidRPr="006E110D">
        <w:t xml:space="preserve"> </w:t>
      </w:r>
      <w:r w:rsidR="00BE7920" w:rsidRPr="006E110D">
        <w:t xml:space="preserve">en el correspondiente </w:t>
      </w:r>
      <w:r w:rsidRPr="006E110D">
        <w:t xml:space="preserve">Convenio de Subvención. </w:t>
      </w:r>
    </w:p>
    <w:p w:rsidR="009160CE" w:rsidRPr="006E110D" w:rsidRDefault="009160CE" w:rsidP="00C17488">
      <w:pPr>
        <w:spacing w:after="0"/>
        <w:jc w:val="both"/>
      </w:pPr>
    </w:p>
    <w:p w:rsidR="00BE7920" w:rsidRPr="006E110D" w:rsidRDefault="00BE7920" w:rsidP="00C17488">
      <w:pPr>
        <w:spacing w:after="0"/>
        <w:jc w:val="both"/>
      </w:pPr>
      <w:r w:rsidRPr="006E110D">
        <w:t xml:space="preserve">3.7. Toda alteración en las condiciones tenidas en cuenta para la concesión de la subvención por parte del participante, podrá dar lugar a la modificación de la concesión o al reintegro de la cuantía que corresponda. </w:t>
      </w:r>
    </w:p>
    <w:p w:rsidR="00C17488" w:rsidRDefault="00C17488" w:rsidP="00C17488">
      <w:pPr>
        <w:pStyle w:val="Prrafodelista"/>
        <w:ind w:left="0"/>
        <w:jc w:val="both"/>
        <w:rPr>
          <w:rFonts w:asciiTheme="minorHAnsi" w:eastAsiaTheme="minorHAnsi" w:hAnsiTheme="minorHAnsi" w:cstheme="minorBidi"/>
          <w:color w:val="2F5496" w:themeColor="accent5" w:themeShade="BF"/>
          <w:sz w:val="22"/>
          <w:szCs w:val="22"/>
          <w:lang w:eastAsia="en-US"/>
        </w:rPr>
      </w:pPr>
    </w:p>
    <w:p w:rsidR="00853C85" w:rsidRPr="006E110D" w:rsidRDefault="009479A0" w:rsidP="00C17488">
      <w:pPr>
        <w:pStyle w:val="Prrafodelista"/>
        <w:ind w:left="0"/>
        <w:jc w:val="both"/>
        <w:rPr>
          <w:rFonts w:asciiTheme="minorHAnsi" w:eastAsiaTheme="minorHAnsi" w:hAnsiTheme="minorHAnsi"/>
          <w:color w:val="2F5496" w:themeColor="accent5" w:themeShade="BF"/>
          <w:sz w:val="22"/>
          <w:szCs w:val="22"/>
        </w:rPr>
      </w:pPr>
      <w:r w:rsidRPr="006E110D">
        <w:rPr>
          <w:rFonts w:asciiTheme="minorHAnsi" w:eastAsiaTheme="minorHAnsi" w:hAnsiTheme="minorHAnsi" w:cstheme="minorBidi"/>
          <w:color w:val="2F5496" w:themeColor="accent5" w:themeShade="BF"/>
          <w:sz w:val="22"/>
          <w:szCs w:val="22"/>
          <w:lang w:eastAsia="en-US"/>
        </w:rPr>
        <w:t>4.</w:t>
      </w:r>
      <w:r w:rsidRPr="006E110D">
        <w:rPr>
          <w:rFonts w:asciiTheme="minorHAnsi" w:eastAsiaTheme="minorHAnsi" w:hAnsiTheme="minorHAnsi"/>
          <w:color w:val="2F5496" w:themeColor="accent5" w:themeShade="BF"/>
          <w:sz w:val="22"/>
          <w:szCs w:val="22"/>
        </w:rPr>
        <w:t xml:space="preserve"> Requisitos</w:t>
      </w:r>
      <w:r w:rsidR="00853C85" w:rsidRPr="006E110D">
        <w:rPr>
          <w:rFonts w:asciiTheme="minorHAnsi" w:eastAsiaTheme="minorHAnsi" w:hAnsiTheme="minorHAnsi"/>
          <w:color w:val="2F5496" w:themeColor="accent5" w:themeShade="BF"/>
          <w:sz w:val="22"/>
          <w:szCs w:val="22"/>
        </w:rPr>
        <w:t xml:space="preserve"> de los candidatos.</w:t>
      </w:r>
    </w:p>
    <w:p w:rsidR="00BE7920" w:rsidRPr="006E110D" w:rsidRDefault="00BE7920" w:rsidP="00C17488">
      <w:pPr>
        <w:spacing w:after="0"/>
        <w:jc w:val="both"/>
      </w:pPr>
      <w:r w:rsidRPr="006E110D">
        <w:t>Los docentes interesados en participar en esta convocatoria deberán cumplir los siguientes requisitos:</w:t>
      </w:r>
    </w:p>
    <w:p w:rsidR="00197A18" w:rsidRDefault="006E6450" w:rsidP="00C17488">
      <w:pPr>
        <w:spacing w:after="0"/>
        <w:jc w:val="both"/>
      </w:pPr>
      <w:r w:rsidRPr="006E110D">
        <w:t>4.1. Ser</w:t>
      </w:r>
      <w:r w:rsidR="00BE7920" w:rsidRPr="006E110D">
        <w:t xml:space="preserve"> docente de los centros educativos que forman parte del consorcio</w:t>
      </w:r>
      <w:r w:rsidR="00197A18" w:rsidRPr="006E110D">
        <w:t xml:space="preserve"> </w:t>
      </w:r>
      <w:r w:rsidR="00EC7EEB">
        <w:t xml:space="preserve">tanto en el momento de realizar la solicitud como en la fecha prevista para realizarla movilidad </w:t>
      </w:r>
      <w:r w:rsidR="00197A18" w:rsidRPr="006E110D">
        <w:t xml:space="preserve">o Asesor Técnico Docente del Servicio de Secciones Bilingües y Programas Europeos de la Consejería de Educación, cultura y Deportes de Castilla-La Mancha. </w:t>
      </w:r>
    </w:p>
    <w:p w:rsidR="009160CE" w:rsidRPr="006E110D" w:rsidRDefault="009160CE" w:rsidP="00C17488">
      <w:pPr>
        <w:spacing w:after="0"/>
        <w:jc w:val="both"/>
      </w:pPr>
    </w:p>
    <w:p w:rsidR="00197A18" w:rsidRDefault="0065727D" w:rsidP="00C17488">
      <w:pPr>
        <w:spacing w:after="0"/>
        <w:jc w:val="both"/>
      </w:pPr>
      <w:r w:rsidRPr="006E110D">
        <w:t>4.2</w:t>
      </w:r>
      <w:r w:rsidR="006E6450" w:rsidRPr="006E110D">
        <w:t>. Cumplir</w:t>
      </w:r>
      <w:r w:rsidR="00BE7920" w:rsidRPr="006E110D">
        <w:t xml:space="preserve"> el perfil profesional requerido para cada una de las movil</w:t>
      </w:r>
      <w:r w:rsidR="009479A0" w:rsidRPr="006E110D">
        <w:t xml:space="preserve">idades de acuerdo con el </w:t>
      </w:r>
      <w:r w:rsidRPr="00EC7EEB">
        <w:t xml:space="preserve">Anexo </w:t>
      </w:r>
      <w:r w:rsidR="005F5BD1" w:rsidRPr="00EC7EEB">
        <w:t>I</w:t>
      </w:r>
      <w:r w:rsidRPr="00EC7EEB">
        <w:t xml:space="preserve"> de la</w:t>
      </w:r>
      <w:r w:rsidRPr="006E110D">
        <w:t xml:space="preserve"> convocatoria referido a las características de las actividades de movilidad. </w:t>
      </w:r>
    </w:p>
    <w:p w:rsidR="009160CE" w:rsidRPr="006E110D" w:rsidRDefault="009160CE" w:rsidP="00C17488">
      <w:pPr>
        <w:spacing w:after="0"/>
        <w:jc w:val="both"/>
      </w:pPr>
    </w:p>
    <w:p w:rsidR="008778BB" w:rsidRDefault="00197A18" w:rsidP="00C17488">
      <w:pPr>
        <w:spacing w:after="0"/>
        <w:jc w:val="both"/>
      </w:pPr>
      <w:r w:rsidRPr="006E110D">
        <w:t>4.3. Los Asesores Técnicos Docente del Servicio de Secciones Bilingües y Programas Europeos de la Consejería de Educación, Cultura y Deportes de Castilla-La Mancha con área de in</w:t>
      </w:r>
      <w:r w:rsidR="008778BB" w:rsidRPr="006E110D">
        <w:t>fluencia en el centro educativo</w:t>
      </w:r>
      <w:r w:rsidRPr="006E110D">
        <w:t xml:space="preserve">, tal y como se especifica en el proyecto, </w:t>
      </w:r>
      <w:r w:rsidR="00EC7EEB">
        <w:t>podrán cubrir</w:t>
      </w:r>
      <w:r w:rsidRPr="006E110D">
        <w:t xml:space="preserve"> las plazas que por diversas circunstancias no puedan ser cubiertas por los docentes de los centros educativos. </w:t>
      </w:r>
    </w:p>
    <w:p w:rsidR="00C17488" w:rsidRPr="006E110D" w:rsidRDefault="00C17488" w:rsidP="00C17488">
      <w:pPr>
        <w:spacing w:after="0"/>
        <w:jc w:val="both"/>
      </w:pPr>
    </w:p>
    <w:p w:rsidR="00853C85" w:rsidRPr="006E110D" w:rsidRDefault="006E6450" w:rsidP="00C17488">
      <w:pPr>
        <w:spacing w:after="0"/>
        <w:jc w:val="both"/>
        <w:rPr>
          <w:color w:val="2F5496" w:themeColor="accent5" w:themeShade="BF"/>
        </w:rPr>
      </w:pPr>
      <w:r w:rsidRPr="006E110D">
        <w:rPr>
          <w:color w:val="2F5496" w:themeColor="accent5" w:themeShade="BF"/>
        </w:rPr>
        <w:t>5. Solicitudes</w:t>
      </w:r>
      <w:r w:rsidR="00933509" w:rsidRPr="006E110D">
        <w:rPr>
          <w:color w:val="2F5496" w:themeColor="accent5" w:themeShade="BF"/>
        </w:rPr>
        <w:t>, documentación</w:t>
      </w:r>
      <w:r w:rsidR="003D4958" w:rsidRPr="006E110D">
        <w:rPr>
          <w:color w:val="2F5496" w:themeColor="accent5" w:themeShade="BF"/>
        </w:rPr>
        <w:t xml:space="preserve">, lugar </w:t>
      </w:r>
      <w:r w:rsidR="00853C85" w:rsidRPr="006E110D">
        <w:rPr>
          <w:color w:val="2F5496" w:themeColor="accent5" w:themeShade="BF"/>
        </w:rPr>
        <w:t xml:space="preserve"> y  plazo de presentación. </w:t>
      </w:r>
    </w:p>
    <w:p w:rsidR="006E6450" w:rsidRDefault="006E6450" w:rsidP="00C17488">
      <w:pPr>
        <w:spacing w:after="0"/>
        <w:jc w:val="both"/>
      </w:pPr>
      <w:r w:rsidRPr="006E110D">
        <w:t xml:space="preserve">5.1. Solicitudes. Los docentes que reúnan los requisitos exigidos en la presente convocatoria y </w:t>
      </w:r>
      <w:r w:rsidRPr="00EC7EEB">
        <w:t>deseen tomar parte en la misma deberán solicitarlo a través del f</w:t>
      </w:r>
      <w:r w:rsidR="005F5BD1" w:rsidRPr="00EC7EEB">
        <w:t>ormulario de solicitud. Anexo</w:t>
      </w:r>
      <w:r w:rsidR="0065727D" w:rsidRPr="00EC7EEB">
        <w:t xml:space="preserve"> II</w:t>
      </w:r>
      <w:r w:rsidR="005F5BD1" w:rsidRPr="00EC7EEB">
        <w:t>.</w:t>
      </w:r>
      <w:r w:rsidRPr="006E110D">
        <w:t xml:space="preserve"> </w:t>
      </w:r>
    </w:p>
    <w:p w:rsidR="009160CE" w:rsidRPr="006E110D" w:rsidRDefault="009160CE" w:rsidP="00C17488">
      <w:pPr>
        <w:spacing w:after="0"/>
        <w:jc w:val="both"/>
      </w:pPr>
    </w:p>
    <w:p w:rsidR="00933509" w:rsidRDefault="00933509" w:rsidP="00C17488">
      <w:pPr>
        <w:spacing w:after="0"/>
        <w:jc w:val="both"/>
      </w:pPr>
      <w:r w:rsidRPr="006E110D">
        <w:t>5.2. Documentación. Junto con la solicitud, los docentes deberán enviar documentación que justifique la vinculación del participante con la institución</w:t>
      </w:r>
      <w:r w:rsidR="0065727D" w:rsidRPr="006E110D">
        <w:t xml:space="preserve"> en el momento de realizar la movilidad</w:t>
      </w:r>
      <w:r w:rsidRPr="006E110D">
        <w:t xml:space="preserve"> (por ejemplo carta de nombramiento).</w:t>
      </w:r>
    </w:p>
    <w:p w:rsidR="009160CE" w:rsidRPr="006E110D" w:rsidRDefault="009160CE" w:rsidP="00C17488">
      <w:pPr>
        <w:spacing w:after="0"/>
        <w:jc w:val="both"/>
      </w:pPr>
    </w:p>
    <w:p w:rsidR="003D4958" w:rsidRDefault="0065727D" w:rsidP="00C17488">
      <w:pPr>
        <w:spacing w:after="0"/>
        <w:jc w:val="both"/>
      </w:pPr>
      <w:r w:rsidRPr="006E110D">
        <w:t>5.3. Los solicitantes deberán presentar su solicitud a la dirección del centro educativo donde presenten sus servicios</w:t>
      </w:r>
      <w:r w:rsidR="004F0111" w:rsidRPr="006E110D">
        <w:t xml:space="preserve">. </w:t>
      </w:r>
    </w:p>
    <w:p w:rsidR="009160CE" w:rsidRPr="006E110D" w:rsidRDefault="009160CE" w:rsidP="00C17488">
      <w:pPr>
        <w:spacing w:after="0"/>
        <w:jc w:val="both"/>
      </w:pPr>
    </w:p>
    <w:p w:rsidR="004F0111" w:rsidRPr="006E110D" w:rsidRDefault="003D4958" w:rsidP="00C17488">
      <w:pPr>
        <w:spacing w:after="0"/>
        <w:jc w:val="both"/>
      </w:pPr>
      <w:r w:rsidRPr="006E110D">
        <w:t>5.4</w:t>
      </w:r>
      <w:r w:rsidR="00933509" w:rsidRPr="006E110D">
        <w:t xml:space="preserve">. Plazo se presentación. EL plazo de </w:t>
      </w:r>
      <w:r w:rsidR="004F0111" w:rsidRPr="006E110D">
        <w:t>presentación de solicitudes variará en función del tipo de actividad de movilidad y el periodo programado para llevarla a cabo, tal y como se indica:</w:t>
      </w:r>
    </w:p>
    <w:p w:rsidR="004F0111" w:rsidRPr="006E110D" w:rsidRDefault="004F0111" w:rsidP="00C17488">
      <w:pPr>
        <w:spacing w:after="0"/>
        <w:jc w:val="both"/>
      </w:pPr>
      <w:r w:rsidRPr="006E110D">
        <w:t>- Cursos de formación 2017, hasta el 10 de junio de 2017.</w:t>
      </w:r>
    </w:p>
    <w:p w:rsidR="004F0111" w:rsidRPr="006E110D" w:rsidRDefault="004F0111" w:rsidP="00C17488">
      <w:pPr>
        <w:spacing w:after="0"/>
        <w:jc w:val="both"/>
      </w:pPr>
      <w:r w:rsidRPr="006E110D">
        <w:t>- Periodos de observación  comprendidos entre el 1 de octubre de 2017 y el 31 de mayo de 2018, hasta el 10 de septiembre de 2017.</w:t>
      </w:r>
    </w:p>
    <w:p w:rsidR="004F0111" w:rsidRPr="006E110D" w:rsidRDefault="004F0111" w:rsidP="00C17488">
      <w:pPr>
        <w:spacing w:after="0"/>
        <w:jc w:val="both"/>
      </w:pPr>
      <w:r w:rsidRPr="006E110D">
        <w:t xml:space="preserve">- Cursos de formación 2018, hasta el 10 de </w:t>
      </w:r>
      <w:r w:rsidR="00EC7EEB">
        <w:t>abril</w:t>
      </w:r>
      <w:r w:rsidRPr="006E110D">
        <w:t xml:space="preserve"> de 2018.</w:t>
      </w:r>
    </w:p>
    <w:p w:rsidR="009160CE" w:rsidRPr="006E110D" w:rsidRDefault="004F0111" w:rsidP="00C17488">
      <w:pPr>
        <w:spacing w:after="0"/>
        <w:jc w:val="both"/>
      </w:pPr>
      <w:r w:rsidRPr="006E110D">
        <w:t xml:space="preserve">- Periodos de observación comprendidos entre el 1 de octubre de 2018 y el 31 de marzo de 2019, hasta el 10 de septiembre de 2018. </w:t>
      </w:r>
    </w:p>
    <w:p w:rsidR="006E6450" w:rsidRDefault="00933509" w:rsidP="00C17488">
      <w:pPr>
        <w:spacing w:after="0"/>
        <w:jc w:val="both"/>
      </w:pPr>
      <w:r w:rsidRPr="006E110D">
        <w:t>Concluido el plazo de presentación, no se admitirá ninguna instancia de participación ni modificación alguna de las peticiones formuladas en ella.</w:t>
      </w:r>
    </w:p>
    <w:p w:rsidR="009160CE" w:rsidRPr="006E110D" w:rsidRDefault="009160CE" w:rsidP="00C17488">
      <w:pPr>
        <w:spacing w:after="0"/>
        <w:jc w:val="both"/>
      </w:pPr>
    </w:p>
    <w:p w:rsidR="00933509" w:rsidRPr="006E110D" w:rsidRDefault="003D4958" w:rsidP="00C17488">
      <w:pPr>
        <w:spacing w:after="0"/>
        <w:jc w:val="both"/>
      </w:pPr>
      <w:r w:rsidRPr="006E110D">
        <w:t>5.5</w:t>
      </w:r>
      <w:r w:rsidR="00933509" w:rsidRPr="006E110D">
        <w:t>. Los solicitantes podrán solicitar</w:t>
      </w:r>
      <w:r w:rsidR="00C84434" w:rsidRPr="006E110D">
        <w:t>,</w:t>
      </w:r>
      <w:r w:rsidR="00933509" w:rsidRPr="006E110D">
        <w:t xml:space="preserve"> por orden de preferencia</w:t>
      </w:r>
      <w:r w:rsidR="00C84434" w:rsidRPr="006E110D">
        <w:t>,</w:t>
      </w:r>
      <w:r w:rsidR="00933509" w:rsidRPr="006E110D">
        <w:t xml:space="preserve"> hasta un máximo de 2</w:t>
      </w:r>
      <w:r w:rsidR="00C84434" w:rsidRPr="006E110D">
        <w:t xml:space="preserve"> actividades de movilidad asignadas al centro educativo en el que prestan su servicio. </w:t>
      </w:r>
      <w:r w:rsidR="00933509" w:rsidRPr="006E110D">
        <w:t xml:space="preserve"> </w:t>
      </w:r>
    </w:p>
    <w:p w:rsidR="00C17488" w:rsidRDefault="00C17488" w:rsidP="00C17488">
      <w:pPr>
        <w:spacing w:after="0"/>
        <w:jc w:val="both"/>
        <w:rPr>
          <w:color w:val="2F5496" w:themeColor="accent5" w:themeShade="BF"/>
        </w:rPr>
      </w:pPr>
    </w:p>
    <w:p w:rsidR="00853C85" w:rsidRPr="006E110D" w:rsidRDefault="00933509" w:rsidP="00C17488">
      <w:pPr>
        <w:spacing w:after="0"/>
        <w:jc w:val="both"/>
        <w:rPr>
          <w:color w:val="2F5496" w:themeColor="accent5" w:themeShade="BF"/>
        </w:rPr>
      </w:pPr>
      <w:r w:rsidRPr="006E110D">
        <w:rPr>
          <w:color w:val="2F5496" w:themeColor="accent5" w:themeShade="BF"/>
        </w:rPr>
        <w:t>6.</w:t>
      </w:r>
      <w:r w:rsidR="00853C85" w:rsidRPr="006E110D">
        <w:rPr>
          <w:color w:val="2F5496" w:themeColor="accent5" w:themeShade="BF"/>
        </w:rPr>
        <w:t>Órgano de Instrucción y comisión de selección.</w:t>
      </w:r>
    </w:p>
    <w:p w:rsidR="00933509" w:rsidRDefault="003D4958" w:rsidP="00C17488">
      <w:pPr>
        <w:spacing w:after="0"/>
        <w:jc w:val="both"/>
      </w:pPr>
      <w:r w:rsidRPr="006E110D">
        <w:t xml:space="preserve">6.1. Órgano de instrucción. La instrucción del procedimiento de adjudicación de movilidades y cuantas actuaciones se estimen necesarias para su resolución </w:t>
      </w:r>
      <w:r w:rsidR="00EC7EEB">
        <w:t xml:space="preserve">corresponderá al Servicio de Secciones Bilingües y Programas Europeos de la Dirección General de Programas, Atención a la Diversidad y Formación Profesional de </w:t>
      </w:r>
      <w:r w:rsidR="009160CE">
        <w:t>l</w:t>
      </w:r>
      <w:r w:rsidRPr="006E110D">
        <w:t>a Consejería de Educación, Cultura y Deportes de Castilla-La Mancha.</w:t>
      </w:r>
    </w:p>
    <w:p w:rsidR="009160CE" w:rsidRPr="006E110D" w:rsidRDefault="009160CE" w:rsidP="00C17488">
      <w:pPr>
        <w:spacing w:after="0"/>
        <w:jc w:val="both"/>
      </w:pPr>
    </w:p>
    <w:p w:rsidR="003D4958" w:rsidRPr="006E110D" w:rsidRDefault="003D4958" w:rsidP="00C17488">
      <w:pPr>
        <w:spacing w:after="0"/>
        <w:jc w:val="both"/>
      </w:pPr>
      <w:r w:rsidRPr="006E110D">
        <w:t>6.2. Comisión de selección. La selección de los candidatos será realizada por una Comisión de Selección constituida en cada uno de los centros educativos que forma parte del consorcio</w:t>
      </w:r>
      <w:r w:rsidR="00C84434" w:rsidRPr="006E110D">
        <w:t xml:space="preserve"> e integrada por los siguientes miembros:</w:t>
      </w:r>
    </w:p>
    <w:p w:rsidR="003D4958" w:rsidRPr="006E110D" w:rsidRDefault="00C84434" w:rsidP="00C17488">
      <w:pPr>
        <w:spacing w:after="0"/>
        <w:jc w:val="both"/>
      </w:pPr>
      <w:r w:rsidRPr="006E110D">
        <w:t xml:space="preserve">- El director del centro educativo, que actuará como presidente. </w:t>
      </w:r>
    </w:p>
    <w:p w:rsidR="00C84434" w:rsidRPr="006E110D" w:rsidRDefault="00C84434" w:rsidP="00C17488">
      <w:pPr>
        <w:spacing w:after="0"/>
        <w:jc w:val="both"/>
      </w:pPr>
      <w:r w:rsidRPr="006E110D">
        <w:t>- El jefe de estudios.</w:t>
      </w:r>
    </w:p>
    <w:p w:rsidR="00C84434" w:rsidRPr="006E110D" w:rsidRDefault="00C84434" w:rsidP="00C17488">
      <w:pPr>
        <w:spacing w:after="0"/>
        <w:jc w:val="both"/>
      </w:pPr>
      <w:r w:rsidRPr="006E110D">
        <w:t>- El coordinador del proyecto Erasmus+ en el centro.</w:t>
      </w:r>
    </w:p>
    <w:p w:rsidR="00C17488" w:rsidRDefault="00C17488" w:rsidP="00C17488">
      <w:pPr>
        <w:spacing w:after="0"/>
        <w:jc w:val="both"/>
        <w:rPr>
          <w:color w:val="2F5496" w:themeColor="accent5" w:themeShade="BF"/>
        </w:rPr>
      </w:pPr>
    </w:p>
    <w:p w:rsidR="00853C85" w:rsidRPr="006E110D" w:rsidRDefault="00C84434" w:rsidP="00C17488">
      <w:pPr>
        <w:spacing w:after="0"/>
        <w:jc w:val="both"/>
        <w:rPr>
          <w:color w:val="2F5496" w:themeColor="accent5" w:themeShade="BF"/>
        </w:rPr>
      </w:pPr>
      <w:r w:rsidRPr="006E110D">
        <w:rPr>
          <w:color w:val="2F5496" w:themeColor="accent5" w:themeShade="BF"/>
        </w:rPr>
        <w:t>7. Criterios</w:t>
      </w:r>
      <w:r w:rsidR="00853C85" w:rsidRPr="006E110D">
        <w:rPr>
          <w:color w:val="2F5496" w:themeColor="accent5" w:themeShade="BF"/>
        </w:rPr>
        <w:t xml:space="preserve"> de </w:t>
      </w:r>
      <w:r w:rsidR="000521C9" w:rsidRPr="006E110D">
        <w:rPr>
          <w:color w:val="2F5496" w:themeColor="accent5" w:themeShade="BF"/>
        </w:rPr>
        <w:t>selección</w:t>
      </w:r>
      <w:r w:rsidR="00EC7315" w:rsidRPr="006E110D">
        <w:rPr>
          <w:color w:val="2F5496" w:themeColor="accent5" w:themeShade="BF"/>
        </w:rPr>
        <w:t xml:space="preserve"> </w:t>
      </w:r>
      <w:r w:rsidR="000521C9" w:rsidRPr="006E110D">
        <w:rPr>
          <w:color w:val="2F5496" w:themeColor="accent5" w:themeShade="BF"/>
        </w:rPr>
        <w:t xml:space="preserve">y </w:t>
      </w:r>
      <w:r w:rsidR="00853C85" w:rsidRPr="006E110D">
        <w:rPr>
          <w:color w:val="2F5496" w:themeColor="accent5" w:themeShade="BF"/>
        </w:rPr>
        <w:t>adjudicación de plazas.</w:t>
      </w:r>
    </w:p>
    <w:p w:rsidR="00C84434" w:rsidRPr="006E110D" w:rsidRDefault="00C84434" w:rsidP="00C17488">
      <w:pPr>
        <w:spacing w:after="0"/>
        <w:jc w:val="both"/>
      </w:pPr>
      <w:r w:rsidRPr="006E110D">
        <w:t>7.1. Criterios de</w:t>
      </w:r>
      <w:r w:rsidR="000521C9" w:rsidRPr="006E110D">
        <w:t xml:space="preserve"> selección</w:t>
      </w:r>
      <w:r w:rsidRPr="006E110D">
        <w:t>. La selección de los candidatos se realizará atendiendo al siguiente orden de p</w:t>
      </w:r>
      <w:r w:rsidR="000521C9" w:rsidRPr="006E110D">
        <w:t>referencia:</w:t>
      </w:r>
    </w:p>
    <w:p w:rsidR="000521C9" w:rsidRPr="006E110D" w:rsidRDefault="000521C9" w:rsidP="00C17488">
      <w:pPr>
        <w:spacing w:after="0"/>
        <w:jc w:val="both"/>
      </w:pPr>
      <w:r w:rsidRPr="006E110D">
        <w:t>1º. Profesorado definitivo del centro.</w:t>
      </w:r>
    </w:p>
    <w:p w:rsidR="000521C9" w:rsidRPr="006E110D" w:rsidRDefault="000521C9" w:rsidP="00C17488">
      <w:pPr>
        <w:spacing w:after="0"/>
        <w:jc w:val="both"/>
      </w:pPr>
      <w:r w:rsidRPr="006E110D">
        <w:t>2º. Profesorado en comisión de servicios o concursillo.</w:t>
      </w:r>
    </w:p>
    <w:p w:rsidR="000521C9" w:rsidRPr="006E110D" w:rsidRDefault="000521C9" w:rsidP="00C17488">
      <w:pPr>
        <w:spacing w:after="0"/>
        <w:jc w:val="both"/>
      </w:pPr>
      <w:r w:rsidRPr="006E110D">
        <w:t>3º. Profesorado interino con plaza vacante.</w:t>
      </w:r>
    </w:p>
    <w:p w:rsidR="000521C9" w:rsidRPr="006E110D" w:rsidRDefault="000521C9" w:rsidP="00C17488">
      <w:pPr>
        <w:spacing w:after="0"/>
        <w:jc w:val="both"/>
      </w:pPr>
      <w:r w:rsidRPr="006E110D">
        <w:t>4º. Profesorado interino que cubre sustitución.</w:t>
      </w:r>
    </w:p>
    <w:p w:rsidR="000521C9" w:rsidRDefault="000521C9" w:rsidP="00C17488">
      <w:pPr>
        <w:spacing w:after="0"/>
        <w:jc w:val="both"/>
      </w:pPr>
      <w:r w:rsidRPr="006E110D">
        <w:t xml:space="preserve">5º Profesorado ATD del Servicio de Secciones Bilingües y Programas Europeos con área de influencia en el centro educativo. </w:t>
      </w:r>
    </w:p>
    <w:p w:rsidR="009160CE" w:rsidRPr="006E110D" w:rsidRDefault="009160CE" w:rsidP="00C17488">
      <w:pPr>
        <w:spacing w:after="0"/>
        <w:jc w:val="both"/>
      </w:pPr>
    </w:p>
    <w:p w:rsidR="000521C9" w:rsidRDefault="000521C9" w:rsidP="00C17488">
      <w:pPr>
        <w:spacing w:after="0"/>
        <w:jc w:val="both"/>
      </w:pPr>
      <w:r w:rsidRPr="006E110D">
        <w:t>7.2. Adjudicación de plazas. La adjudicación de plazas se hará en régime</w:t>
      </w:r>
      <w:r w:rsidR="00EC7315" w:rsidRPr="006E110D">
        <w:t xml:space="preserve">n de concurrencia competitiva, </w:t>
      </w:r>
      <w:r w:rsidRPr="006E110D">
        <w:t>atendiendo al perfil de los participantes para cada una de las actividades de movilidad</w:t>
      </w:r>
      <w:r w:rsidR="009B3B18" w:rsidRPr="006E110D">
        <w:t xml:space="preserve">, </w:t>
      </w:r>
      <w:r w:rsidR="00EC7315" w:rsidRPr="006E110D">
        <w:t xml:space="preserve">siguiendo los criterios </w:t>
      </w:r>
      <w:r w:rsidR="00FA3BE7" w:rsidRPr="006E110D">
        <w:t>de prelación</w:t>
      </w:r>
      <w:r w:rsidR="00EC7315" w:rsidRPr="006E110D">
        <w:t xml:space="preserve"> establecidos p</w:t>
      </w:r>
      <w:r w:rsidR="009B3B18" w:rsidRPr="006E110D">
        <w:t xml:space="preserve">ara cada una de las actividades </w:t>
      </w:r>
      <w:r w:rsidR="005F5BD1" w:rsidRPr="00EC7EEB">
        <w:t xml:space="preserve">(Anexo </w:t>
      </w:r>
      <w:r w:rsidR="004F0111" w:rsidRPr="00EC7EEB">
        <w:t>I)</w:t>
      </w:r>
      <w:r w:rsidR="00EC7315" w:rsidRPr="00EC7EEB">
        <w:t xml:space="preserve">. </w:t>
      </w:r>
      <w:r w:rsidRPr="00EC7EEB">
        <w:t>En</w:t>
      </w:r>
      <w:r w:rsidRPr="006E110D">
        <w:t xml:space="preserve"> caso de empate </w:t>
      </w:r>
      <w:r w:rsidR="009B3B18" w:rsidRPr="006E110D">
        <w:t xml:space="preserve">se tendrá en cuenta la valoración de la carta de motivación contenida en la solicitud y </w:t>
      </w:r>
      <w:r w:rsidRPr="006E110D">
        <w:t xml:space="preserve">se seguirán los criterios del Concurso General de Traslados. </w:t>
      </w:r>
    </w:p>
    <w:p w:rsidR="009160CE" w:rsidRPr="006E110D" w:rsidRDefault="009160CE" w:rsidP="00C17488">
      <w:pPr>
        <w:spacing w:after="0"/>
        <w:jc w:val="both"/>
      </w:pPr>
    </w:p>
    <w:p w:rsidR="00FA3BE7" w:rsidRDefault="00EC7315" w:rsidP="00C17488">
      <w:pPr>
        <w:spacing w:after="0"/>
        <w:jc w:val="both"/>
      </w:pPr>
      <w:r w:rsidRPr="006E110D">
        <w:t>7.3. Las comisiones de selección en cada centro educativo valorarán las solicitudes que cumplan con los requisitos necesarios</w:t>
      </w:r>
      <w:r w:rsidR="00FA3BE7" w:rsidRPr="006E110D">
        <w:t xml:space="preserve">. La adjudicación de plazas se hará siguiendo el orden de preferencia establecido  por el solicitante.  </w:t>
      </w:r>
    </w:p>
    <w:p w:rsidR="009160CE" w:rsidRPr="006E110D" w:rsidRDefault="009160CE" w:rsidP="00C17488">
      <w:pPr>
        <w:spacing w:after="0"/>
        <w:jc w:val="both"/>
      </w:pPr>
    </w:p>
    <w:p w:rsidR="00FA3BE7" w:rsidRPr="006E110D" w:rsidRDefault="00FA3BE7" w:rsidP="00C17488">
      <w:pPr>
        <w:spacing w:after="0"/>
        <w:jc w:val="both"/>
      </w:pPr>
      <w:r w:rsidRPr="006E110D">
        <w:t>7.4. Las plazas que queden vacantes a cualquiera de las actividades de movilidad podrán ser asignadas a través de una</w:t>
      </w:r>
      <w:r w:rsidR="00E33947" w:rsidRPr="006E110D">
        <w:t xml:space="preserve"> segunda convocatoria.</w:t>
      </w:r>
    </w:p>
    <w:p w:rsidR="00C17488" w:rsidRDefault="00C17488" w:rsidP="00C17488">
      <w:pPr>
        <w:spacing w:after="0"/>
        <w:jc w:val="both"/>
        <w:rPr>
          <w:color w:val="2F5496" w:themeColor="accent5" w:themeShade="BF"/>
        </w:rPr>
      </w:pPr>
    </w:p>
    <w:p w:rsidR="00FA3BE7" w:rsidRPr="006E110D" w:rsidRDefault="00FA3BE7" w:rsidP="00C17488">
      <w:pPr>
        <w:spacing w:after="0"/>
        <w:jc w:val="both"/>
        <w:rPr>
          <w:color w:val="2F5496" w:themeColor="accent5" w:themeShade="BF"/>
        </w:rPr>
      </w:pPr>
      <w:r w:rsidRPr="006E110D">
        <w:rPr>
          <w:color w:val="2F5496" w:themeColor="accent5" w:themeShade="BF"/>
        </w:rPr>
        <w:t>8. Resolución de la convocatoria.</w:t>
      </w:r>
    </w:p>
    <w:p w:rsidR="00E33947" w:rsidRPr="006E110D" w:rsidRDefault="00E33947" w:rsidP="00C17488">
      <w:pPr>
        <w:spacing w:after="0"/>
        <w:jc w:val="both"/>
      </w:pPr>
      <w:r w:rsidRPr="006E110D">
        <w:t>8.1. Una</w:t>
      </w:r>
      <w:r w:rsidR="00FA3BE7" w:rsidRPr="006E110D">
        <w:t xml:space="preserve"> vez evaluadas las solicitudes,</w:t>
      </w:r>
      <w:r w:rsidRPr="006E110D">
        <w:t xml:space="preserve"> las comisiones de selección</w:t>
      </w:r>
      <w:r w:rsidR="009B3B18" w:rsidRPr="006E110D">
        <w:t xml:space="preserve"> en cada centro educativo</w:t>
      </w:r>
      <w:r w:rsidRPr="006E110D">
        <w:t xml:space="preserve"> emitirán un informe al coordinador del proyecto Erasmus+ </w:t>
      </w:r>
      <w:r w:rsidR="009160CE">
        <w:t>de</w:t>
      </w:r>
      <w:r w:rsidRPr="006E110D">
        <w:t xml:space="preserve"> la Consejería de Educación, Cultura y Deportes de Castilla-La Mancha en el que se concrete el resultado de la valoración efectuada. </w:t>
      </w:r>
    </w:p>
    <w:p w:rsidR="00EC7315" w:rsidRPr="006E110D" w:rsidRDefault="00E33947" w:rsidP="00C17488">
      <w:pPr>
        <w:spacing w:after="0"/>
        <w:jc w:val="both"/>
      </w:pPr>
      <w:r w:rsidRPr="006E110D">
        <w:t>El órgano instructor formulará la propuesta de resolución provisional,</w:t>
      </w:r>
      <w:r w:rsidR="00FA3BE7" w:rsidRPr="006E110D">
        <w:t xml:space="preserve"> que será publicada en el portal de educación antes del 1</w:t>
      </w:r>
      <w:r w:rsidR="009B3B18" w:rsidRPr="006E110D">
        <w:t xml:space="preserve">2 </w:t>
      </w:r>
      <w:r w:rsidR="00FA3BE7" w:rsidRPr="006E110D">
        <w:t>de junio de 2017</w:t>
      </w:r>
      <w:r w:rsidR="00EC7315" w:rsidRPr="006E110D">
        <w:t xml:space="preserve">. </w:t>
      </w:r>
      <w:r w:rsidRPr="006E110D">
        <w:t xml:space="preserve"> </w:t>
      </w:r>
    </w:p>
    <w:p w:rsidR="00E33947" w:rsidRDefault="00E33947" w:rsidP="00C17488">
      <w:pPr>
        <w:spacing w:after="0"/>
        <w:jc w:val="both"/>
      </w:pPr>
      <w:r w:rsidRPr="006E110D">
        <w:t>8.2. Contra esta resolución provisional, los interesados dispondrán de un plazo de 2 días a partir del siguiente a su publicación para presentar reclamación o subsanar el defecto que haya motivado su exclusión.</w:t>
      </w:r>
    </w:p>
    <w:p w:rsidR="009160CE" w:rsidRPr="006E110D" w:rsidRDefault="009160CE" w:rsidP="00C17488">
      <w:pPr>
        <w:spacing w:after="0"/>
        <w:jc w:val="both"/>
      </w:pPr>
    </w:p>
    <w:p w:rsidR="00E33947" w:rsidRPr="006E110D" w:rsidRDefault="00E33947" w:rsidP="00C17488">
      <w:pPr>
        <w:spacing w:after="0"/>
        <w:jc w:val="both"/>
      </w:pPr>
      <w:r w:rsidRPr="006E110D">
        <w:t xml:space="preserve">8.3. Una vez estudiadas las reclamaciones </w:t>
      </w:r>
      <w:r w:rsidR="00FA3B83" w:rsidRPr="006E110D">
        <w:t>presentadas</w:t>
      </w:r>
      <w:r w:rsidRPr="006E110D">
        <w:t xml:space="preserve"> y efectuadas las rectificaciones que procedan, las comisiones de selección emitirán un informe en el que se concrete el resultado definitivo</w:t>
      </w:r>
      <w:r w:rsidR="00FA3B83" w:rsidRPr="006E110D">
        <w:t>. El órgano instructor, a la vista de los informes de las diferentes comisiones de selección en cada centro educativo, formulará la propuesta de resolución defin</w:t>
      </w:r>
      <w:r w:rsidR="009160CE">
        <w:t>itiva que será publicada en el Portal de E</w:t>
      </w:r>
      <w:r w:rsidR="00FA3B83" w:rsidRPr="006E110D">
        <w:t xml:space="preserve">ducación antes del 15 de junio de 2017. </w:t>
      </w:r>
    </w:p>
    <w:p w:rsidR="00FA3B83" w:rsidRPr="006E110D" w:rsidRDefault="00FA3B83" w:rsidP="00C17488">
      <w:pPr>
        <w:spacing w:after="0"/>
        <w:jc w:val="both"/>
      </w:pPr>
      <w:r w:rsidRPr="006E110D">
        <w:t xml:space="preserve">El coordinador del proyecto Erasmus+ en la Consejería de Educación, Cultura y Deportes de Castilla-La Mancha se pondrá en contacto con los coordinadores del proyecto Erasmus+ y con los docentes seleccionados para informarles de los trámites a seguir. </w:t>
      </w:r>
    </w:p>
    <w:p w:rsidR="00C17488" w:rsidRDefault="00C17488" w:rsidP="00C17488">
      <w:pPr>
        <w:spacing w:after="0"/>
        <w:jc w:val="both"/>
        <w:rPr>
          <w:color w:val="2F5496" w:themeColor="accent5" w:themeShade="BF"/>
        </w:rPr>
      </w:pPr>
    </w:p>
    <w:p w:rsidR="00FA3B83" w:rsidRPr="006E110D" w:rsidRDefault="00FA3B83" w:rsidP="00C17488">
      <w:pPr>
        <w:spacing w:after="0"/>
        <w:jc w:val="both"/>
      </w:pPr>
      <w:r w:rsidRPr="006E110D">
        <w:rPr>
          <w:color w:val="2F5496" w:themeColor="accent5" w:themeShade="BF"/>
        </w:rPr>
        <w:t xml:space="preserve">9. Obligaciones de los docentes seleccionados.  </w:t>
      </w:r>
    </w:p>
    <w:p w:rsidR="00C84434" w:rsidRPr="00C84434" w:rsidRDefault="00FA3B83" w:rsidP="007769D2">
      <w:pPr>
        <w:spacing w:after="0"/>
        <w:jc w:val="both"/>
      </w:pPr>
      <w:r w:rsidRPr="006E110D">
        <w:t>Los docentes seleccionados deberán comprometerse a realizar la movilidad adjudicada y a respetar las condiciones del Plan de Desarrollo Europeo establecido en el proyecto “</w:t>
      </w:r>
      <w:proofErr w:type="spellStart"/>
      <w:r w:rsidRPr="006E110D">
        <w:t>e+Lazos</w:t>
      </w:r>
      <w:proofErr w:type="spellEnd"/>
      <w:r w:rsidRPr="006E110D">
        <w:t xml:space="preserve">: otra mirada hacia la enseñanza bilingüe”,  para lo cual se </w:t>
      </w:r>
      <w:r w:rsidR="00C17488">
        <w:t xml:space="preserve">establecerá </w:t>
      </w:r>
      <w:r w:rsidR="007769D2">
        <w:t xml:space="preserve"> un "acuerdo de movilidad".</w:t>
      </w:r>
    </w:p>
    <w:p w:rsidR="00E52969" w:rsidRDefault="00E52969" w:rsidP="009479A0">
      <w:pPr>
        <w:jc w:val="both"/>
      </w:pPr>
    </w:p>
    <w:p w:rsidR="009160CE" w:rsidRPr="00853C85" w:rsidRDefault="009160CE" w:rsidP="009160CE">
      <w:pPr>
        <w:jc w:val="center"/>
      </w:pPr>
      <w:r>
        <w:t>Toledo, 5 de junio de 2017.</w:t>
      </w:r>
    </w:p>
    <w:p w:rsidR="006F31EE" w:rsidRDefault="006F31EE" w:rsidP="00A6536F">
      <w:pPr>
        <w:rPr>
          <w:highlight w:val="yellow"/>
        </w:rPr>
      </w:pPr>
    </w:p>
    <w:p w:rsidR="006F31EE" w:rsidRPr="006F31EE" w:rsidRDefault="006F31EE" w:rsidP="006F31EE">
      <w:pPr>
        <w:rPr>
          <w:highlight w:val="yellow"/>
        </w:rPr>
      </w:pPr>
    </w:p>
    <w:p w:rsidR="006F31EE" w:rsidRDefault="006F31EE" w:rsidP="006F31EE">
      <w:pPr>
        <w:rPr>
          <w:highlight w:val="yellow"/>
        </w:rPr>
      </w:pPr>
    </w:p>
    <w:p w:rsidR="000E35FA" w:rsidRPr="006F31EE" w:rsidRDefault="006F31EE" w:rsidP="009160CE">
      <w:pPr>
        <w:spacing w:after="0" w:line="240" w:lineRule="auto"/>
        <w:jc w:val="center"/>
      </w:pPr>
      <w:proofErr w:type="spellStart"/>
      <w:r w:rsidRPr="006F31EE">
        <w:t>Fdo</w:t>
      </w:r>
      <w:proofErr w:type="spellEnd"/>
      <w:r w:rsidRPr="006F31EE">
        <w:t xml:space="preserve">: Amador Pastor </w:t>
      </w:r>
      <w:proofErr w:type="spellStart"/>
      <w:r w:rsidRPr="006F31EE">
        <w:t>Noheda</w:t>
      </w:r>
      <w:proofErr w:type="spellEnd"/>
    </w:p>
    <w:p w:rsidR="009160CE" w:rsidRDefault="006F31EE" w:rsidP="009160CE">
      <w:pPr>
        <w:spacing w:after="0" w:line="240" w:lineRule="auto"/>
        <w:jc w:val="center"/>
      </w:pPr>
      <w:r w:rsidRPr="006F31EE">
        <w:t xml:space="preserve">DIRECTOR GENERAL DE PROGRAMAS, ATENCIÓN A LA DIVERSIDAD Y </w:t>
      </w:r>
    </w:p>
    <w:p w:rsidR="006F31EE" w:rsidRPr="006F31EE" w:rsidRDefault="006F31EE" w:rsidP="009160CE">
      <w:pPr>
        <w:spacing w:after="0" w:line="240" w:lineRule="auto"/>
        <w:jc w:val="center"/>
      </w:pPr>
      <w:r w:rsidRPr="006F31EE">
        <w:t>FORMACIÓN PROFESIONAL</w:t>
      </w:r>
    </w:p>
    <w:sectPr w:rsidR="006F31EE" w:rsidRPr="006F31EE" w:rsidSect="009160CE">
      <w:headerReference w:type="default" r:id="rId7"/>
      <w:pgSz w:w="11906" w:h="16838"/>
      <w:pgMar w:top="2836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1B" w:rsidRDefault="00F12F1B" w:rsidP="00F12F1B">
      <w:pPr>
        <w:spacing w:after="0" w:line="240" w:lineRule="auto"/>
      </w:pPr>
      <w:r>
        <w:separator/>
      </w:r>
    </w:p>
  </w:endnote>
  <w:endnote w:type="continuationSeparator" w:id="0">
    <w:p w:rsidR="00F12F1B" w:rsidRDefault="00F12F1B" w:rsidP="00F1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1B" w:rsidRDefault="00F12F1B" w:rsidP="00F12F1B">
      <w:pPr>
        <w:spacing w:after="0" w:line="240" w:lineRule="auto"/>
      </w:pPr>
      <w:r>
        <w:separator/>
      </w:r>
    </w:p>
  </w:footnote>
  <w:footnote w:type="continuationSeparator" w:id="0">
    <w:p w:rsidR="00F12F1B" w:rsidRDefault="00F12F1B" w:rsidP="00F1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1B" w:rsidRDefault="00F12F1B">
    <w:pPr>
      <w:pStyle w:val="Encabezado"/>
    </w:pPr>
    <w:r>
      <w:t xml:space="preserve">    </w:t>
    </w:r>
    <w:r w:rsidR="00807A9B">
      <w:rPr>
        <w:noProof/>
        <w:lang w:eastAsia="es-ES"/>
      </w:rPr>
      <w:t xml:space="preserve">                                               </w:t>
    </w:r>
    <w:r>
      <w:rPr>
        <w:noProof/>
        <w:lang w:eastAsia="es-ES"/>
      </w:rPr>
      <w:t xml:space="preserve">                                                             </w:t>
    </w:r>
    <w:r>
      <w:rPr>
        <w:noProof/>
        <w:lang w:eastAsia="es-ES"/>
      </w:rPr>
      <w:drawing>
        <wp:inline distT="0" distB="0" distL="0" distR="0">
          <wp:extent cx="2193735" cy="532956"/>
          <wp:effectExtent l="0" t="0" r="0" b="63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financiado- izquier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839" cy="543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55D"/>
    <w:multiLevelType w:val="hybridMultilevel"/>
    <w:tmpl w:val="992211B8"/>
    <w:lvl w:ilvl="0" w:tplc="1D56B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4E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60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2B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6D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E9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E0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C0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7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B41EB1"/>
    <w:multiLevelType w:val="hybridMultilevel"/>
    <w:tmpl w:val="31086140"/>
    <w:lvl w:ilvl="0" w:tplc="30127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27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4F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A9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21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EE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265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A2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61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5C5888"/>
    <w:multiLevelType w:val="multilevel"/>
    <w:tmpl w:val="CD4C6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12014E"/>
    <w:multiLevelType w:val="multilevel"/>
    <w:tmpl w:val="7318E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4330BF"/>
    <w:multiLevelType w:val="hybridMultilevel"/>
    <w:tmpl w:val="F13883E8"/>
    <w:lvl w:ilvl="0" w:tplc="14B60C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4E2"/>
    <w:multiLevelType w:val="multilevel"/>
    <w:tmpl w:val="CD4C6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114459"/>
    <w:multiLevelType w:val="hybridMultilevel"/>
    <w:tmpl w:val="AB6CD4F8"/>
    <w:lvl w:ilvl="0" w:tplc="ED1E2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E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4F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CF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44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85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44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E9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4B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193150"/>
    <w:multiLevelType w:val="hybridMultilevel"/>
    <w:tmpl w:val="028CFBF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E7861"/>
    <w:multiLevelType w:val="multilevel"/>
    <w:tmpl w:val="CD4C6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F37672"/>
    <w:multiLevelType w:val="multilevel"/>
    <w:tmpl w:val="9E3E43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F882E9A"/>
    <w:multiLevelType w:val="hybridMultilevel"/>
    <w:tmpl w:val="2C7CFF82"/>
    <w:lvl w:ilvl="0" w:tplc="B212F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3C0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184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2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4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4A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83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60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CF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F63094F"/>
    <w:multiLevelType w:val="hybridMultilevel"/>
    <w:tmpl w:val="B5A628AA"/>
    <w:lvl w:ilvl="0" w:tplc="48986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E8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8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3E9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C7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E4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8E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0F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E7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3BB2487"/>
    <w:multiLevelType w:val="multilevel"/>
    <w:tmpl w:val="F45AE1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89F36FE"/>
    <w:multiLevelType w:val="hybridMultilevel"/>
    <w:tmpl w:val="B4B40A1A"/>
    <w:lvl w:ilvl="0" w:tplc="D6F06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9E0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04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2C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E6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F63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46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C8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20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A9509EF"/>
    <w:multiLevelType w:val="hybridMultilevel"/>
    <w:tmpl w:val="AA8E7468"/>
    <w:lvl w:ilvl="0" w:tplc="597A3A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C11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A7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C17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C9D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6C7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EC3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1A5F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2E2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6F"/>
    <w:rsid w:val="00024FB4"/>
    <w:rsid w:val="000521C9"/>
    <w:rsid w:val="000E35FA"/>
    <w:rsid w:val="001639F6"/>
    <w:rsid w:val="00197A18"/>
    <w:rsid w:val="00213FB2"/>
    <w:rsid w:val="002F695E"/>
    <w:rsid w:val="003D4958"/>
    <w:rsid w:val="004F0111"/>
    <w:rsid w:val="0054329B"/>
    <w:rsid w:val="005F5BD1"/>
    <w:rsid w:val="0065727D"/>
    <w:rsid w:val="006E110D"/>
    <w:rsid w:val="006E6450"/>
    <w:rsid w:val="006F31EE"/>
    <w:rsid w:val="007769D2"/>
    <w:rsid w:val="007F30BF"/>
    <w:rsid w:val="00807A9B"/>
    <w:rsid w:val="00853C85"/>
    <w:rsid w:val="008720E6"/>
    <w:rsid w:val="008778BB"/>
    <w:rsid w:val="008E53E3"/>
    <w:rsid w:val="008F13D5"/>
    <w:rsid w:val="009160CE"/>
    <w:rsid w:val="00933509"/>
    <w:rsid w:val="009479A0"/>
    <w:rsid w:val="009B3B18"/>
    <w:rsid w:val="00A6536F"/>
    <w:rsid w:val="00AF218E"/>
    <w:rsid w:val="00BA4788"/>
    <w:rsid w:val="00BE7920"/>
    <w:rsid w:val="00C17488"/>
    <w:rsid w:val="00C63ED6"/>
    <w:rsid w:val="00C84434"/>
    <w:rsid w:val="00D26E4A"/>
    <w:rsid w:val="00E05E81"/>
    <w:rsid w:val="00E33947"/>
    <w:rsid w:val="00E4006B"/>
    <w:rsid w:val="00E52969"/>
    <w:rsid w:val="00EC7315"/>
    <w:rsid w:val="00EC7EEB"/>
    <w:rsid w:val="00F12F1B"/>
    <w:rsid w:val="00F94C0E"/>
    <w:rsid w:val="00FA3B83"/>
    <w:rsid w:val="00F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B20D86D-589F-4DF9-A0A4-164CD7F4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35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35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5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D495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E35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E35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uiPriority w:val="39"/>
    <w:rsid w:val="000E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48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2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F1B"/>
  </w:style>
  <w:style w:type="paragraph" w:styleId="Piedepgina">
    <w:name w:val="footer"/>
    <w:basedOn w:val="Normal"/>
    <w:link w:val="PiedepginaCar"/>
    <w:uiPriority w:val="99"/>
    <w:unhideWhenUsed/>
    <w:rsid w:val="00F12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5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2026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mmpr41 MARIA JESUS Parra Romero tfno:9252 67514</dc:creator>
  <cp:keywords/>
  <dc:description/>
  <cp:lastModifiedBy>mmpr41 MARIA JESUS Parra Romero tfno:9252 67514</cp:lastModifiedBy>
  <cp:revision>12</cp:revision>
  <cp:lastPrinted>2017-06-05T10:28:00Z</cp:lastPrinted>
  <dcterms:created xsi:type="dcterms:W3CDTF">2017-06-02T11:31:00Z</dcterms:created>
  <dcterms:modified xsi:type="dcterms:W3CDTF">2017-06-05T10:28:00Z</dcterms:modified>
</cp:coreProperties>
</file>